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1965"/>
        <w:tblW w:w="12398" w:type="dxa"/>
        <w:tblLook w:val="01E0" w:firstRow="1" w:lastRow="1" w:firstColumn="1" w:lastColumn="1" w:noHBand="0" w:noVBand="0"/>
      </w:tblPr>
      <w:tblGrid>
        <w:gridCol w:w="2088"/>
        <w:gridCol w:w="2093"/>
        <w:gridCol w:w="1565"/>
        <w:gridCol w:w="4385"/>
        <w:gridCol w:w="2267"/>
      </w:tblGrid>
      <w:tr w:rsidR="00692A35" w:rsidRPr="001C1CB6" w14:paraId="3C680FD1" w14:textId="77777777" w:rsidTr="00A127C1">
        <w:tc>
          <w:tcPr>
            <w:tcW w:w="2088" w:type="dxa"/>
          </w:tcPr>
          <w:p w14:paraId="253DFDC4" w14:textId="77777777" w:rsidR="00A463D3" w:rsidRPr="00A127C1" w:rsidRDefault="009C3BFA" w:rsidP="00A127C1">
            <w:pPr>
              <w:tabs>
                <w:tab w:val="center" w:pos="388"/>
                <w:tab w:val="right" w:pos="776"/>
              </w:tabs>
              <w:spacing w:line="240" w:lineRule="atLeast"/>
              <w:rPr>
                <w:rFonts w:ascii="Franklin Gothic Book" w:hAnsi="Franklin Gothic Book"/>
                <w:sz w:val="16"/>
                <w:szCs w:val="16"/>
              </w:rPr>
            </w:pPr>
            <w:r w:rsidRPr="00A127C1">
              <w:rPr>
                <w:rFonts w:ascii="Franklin Gothic Book" w:hAnsi="Franklin Gothic Book"/>
                <w:sz w:val="16"/>
                <w:szCs w:val="16"/>
              </w:rPr>
              <w:t xml:space="preserve"> </w:t>
            </w:r>
          </w:p>
        </w:tc>
        <w:tc>
          <w:tcPr>
            <w:tcW w:w="2093" w:type="dxa"/>
            <w:vMerge w:val="restart"/>
          </w:tcPr>
          <w:p w14:paraId="563D1BAC" w14:textId="77777777" w:rsidR="00A463D3" w:rsidRDefault="00A463D3" w:rsidP="00A127C1">
            <w:pPr>
              <w:spacing w:line="240" w:lineRule="atLeast"/>
              <w:ind w:hanging="108"/>
            </w:pPr>
          </w:p>
        </w:tc>
        <w:tc>
          <w:tcPr>
            <w:tcW w:w="1565" w:type="dxa"/>
          </w:tcPr>
          <w:p w14:paraId="015B7CAA" w14:textId="77777777" w:rsidR="00A463D3" w:rsidRPr="001C1CB6" w:rsidRDefault="00A463D3" w:rsidP="00A127C1">
            <w:pPr>
              <w:spacing w:line="240" w:lineRule="atLeast"/>
            </w:pPr>
          </w:p>
        </w:tc>
        <w:tc>
          <w:tcPr>
            <w:tcW w:w="4385" w:type="dxa"/>
          </w:tcPr>
          <w:p w14:paraId="2DCA3DCE" w14:textId="77777777" w:rsidR="00A463D3" w:rsidRPr="00A127C1" w:rsidRDefault="00A463D3" w:rsidP="00A127C1">
            <w:pPr>
              <w:spacing w:line="240" w:lineRule="atLeast"/>
              <w:jc w:val="right"/>
              <w:rPr>
                <w:rFonts w:ascii="Franklin Gothic Book" w:hAnsi="Franklin Gothic Book"/>
                <w:sz w:val="16"/>
                <w:szCs w:val="16"/>
              </w:rPr>
            </w:pPr>
          </w:p>
        </w:tc>
        <w:tc>
          <w:tcPr>
            <w:tcW w:w="2267" w:type="dxa"/>
          </w:tcPr>
          <w:p w14:paraId="42B1DC95" w14:textId="77777777" w:rsidR="00A463D3" w:rsidRPr="00A127C1" w:rsidRDefault="00A463D3" w:rsidP="00A127C1">
            <w:pPr>
              <w:spacing w:line="240" w:lineRule="atLeast"/>
              <w:rPr>
                <w:rFonts w:ascii="Franklin Gothic Book" w:hAnsi="Franklin Gothic Book"/>
                <w:sz w:val="16"/>
                <w:szCs w:val="16"/>
              </w:rPr>
            </w:pPr>
          </w:p>
        </w:tc>
      </w:tr>
      <w:tr w:rsidR="00692A35" w:rsidRPr="001C1CB6" w14:paraId="6CD2F52C" w14:textId="77777777" w:rsidTr="00A127C1">
        <w:tc>
          <w:tcPr>
            <w:tcW w:w="2088" w:type="dxa"/>
          </w:tcPr>
          <w:p w14:paraId="7F339240" w14:textId="77777777" w:rsidR="002079CC" w:rsidRPr="00A127C1" w:rsidRDefault="002079CC" w:rsidP="00A127C1">
            <w:pPr>
              <w:tabs>
                <w:tab w:val="center" w:pos="388"/>
                <w:tab w:val="right" w:pos="776"/>
              </w:tabs>
              <w:spacing w:line="240" w:lineRule="atLeast"/>
              <w:rPr>
                <w:rFonts w:ascii="Franklin Gothic Book" w:hAnsi="Franklin Gothic Book"/>
                <w:sz w:val="16"/>
                <w:szCs w:val="16"/>
              </w:rPr>
            </w:pPr>
          </w:p>
        </w:tc>
        <w:tc>
          <w:tcPr>
            <w:tcW w:w="2093" w:type="dxa"/>
            <w:vMerge/>
          </w:tcPr>
          <w:p w14:paraId="787E8C78" w14:textId="77777777" w:rsidR="002079CC" w:rsidRPr="00A127C1" w:rsidRDefault="002079CC" w:rsidP="00A127C1">
            <w:pPr>
              <w:spacing w:line="240" w:lineRule="atLeast"/>
              <w:ind w:hanging="108"/>
              <w:rPr>
                <w:b/>
                <w:sz w:val="17"/>
                <w:szCs w:val="17"/>
              </w:rPr>
            </w:pPr>
          </w:p>
        </w:tc>
        <w:tc>
          <w:tcPr>
            <w:tcW w:w="1565" w:type="dxa"/>
          </w:tcPr>
          <w:p w14:paraId="29DFD51A" w14:textId="77777777" w:rsidR="002079CC" w:rsidRPr="001C1CB6" w:rsidRDefault="002079CC" w:rsidP="00A127C1">
            <w:pPr>
              <w:spacing w:line="240" w:lineRule="atLeast"/>
            </w:pPr>
          </w:p>
        </w:tc>
        <w:tc>
          <w:tcPr>
            <w:tcW w:w="4385" w:type="dxa"/>
          </w:tcPr>
          <w:p w14:paraId="0AFF0384" w14:textId="77777777" w:rsidR="002079CC" w:rsidRPr="00A127C1" w:rsidRDefault="002079CC" w:rsidP="00A127C1">
            <w:pPr>
              <w:spacing w:line="240" w:lineRule="atLeast"/>
              <w:jc w:val="right"/>
              <w:rPr>
                <w:rFonts w:ascii="Franklin Gothic Book" w:hAnsi="Franklin Gothic Book"/>
                <w:sz w:val="16"/>
                <w:szCs w:val="16"/>
              </w:rPr>
            </w:pPr>
          </w:p>
        </w:tc>
        <w:tc>
          <w:tcPr>
            <w:tcW w:w="2267" w:type="dxa"/>
          </w:tcPr>
          <w:p w14:paraId="743693DA" w14:textId="77777777" w:rsidR="002079CC" w:rsidRPr="00A127C1" w:rsidRDefault="002079CC" w:rsidP="00A127C1">
            <w:pPr>
              <w:pStyle w:val="afzendergegevens"/>
              <w:spacing w:line="240" w:lineRule="atLeast"/>
              <w:rPr>
                <w:b/>
                <w:sz w:val="16"/>
                <w:szCs w:val="16"/>
              </w:rPr>
            </w:pPr>
          </w:p>
        </w:tc>
      </w:tr>
      <w:tr w:rsidR="00692A35" w:rsidRPr="001C1CB6" w14:paraId="73176272" w14:textId="77777777" w:rsidTr="00A127C1">
        <w:tc>
          <w:tcPr>
            <w:tcW w:w="2088" w:type="dxa"/>
          </w:tcPr>
          <w:p w14:paraId="7414973C" w14:textId="77777777" w:rsidR="002079CC" w:rsidRPr="00A127C1" w:rsidRDefault="002079CC" w:rsidP="00A127C1">
            <w:pPr>
              <w:tabs>
                <w:tab w:val="center" w:pos="388"/>
                <w:tab w:val="right" w:pos="776"/>
              </w:tabs>
              <w:spacing w:line="240" w:lineRule="atLeast"/>
              <w:rPr>
                <w:rFonts w:ascii="Franklin Gothic Book" w:hAnsi="Franklin Gothic Book"/>
                <w:sz w:val="16"/>
                <w:szCs w:val="16"/>
              </w:rPr>
            </w:pPr>
          </w:p>
        </w:tc>
        <w:tc>
          <w:tcPr>
            <w:tcW w:w="2093" w:type="dxa"/>
            <w:vMerge/>
          </w:tcPr>
          <w:p w14:paraId="54FADB8C" w14:textId="77777777" w:rsidR="002079CC" w:rsidRPr="001C1CB6" w:rsidRDefault="002079CC" w:rsidP="00A127C1">
            <w:pPr>
              <w:spacing w:line="240" w:lineRule="atLeast"/>
            </w:pPr>
          </w:p>
        </w:tc>
        <w:tc>
          <w:tcPr>
            <w:tcW w:w="1565" w:type="dxa"/>
          </w:tcPr>
          <w:p w14:paraId="36C5625A" w14:textId="77777777" w:rsidR="002079CC" w:rsidRPr="001C1CB6" w:rsidRDefault="002079CC" w:rsidP="00A127C1">
            <w:pPr>
              <w:spacing w:line="240" w:lineRule="atLeast"/>
            </w:pPr>
          </w:p>
        </w:tc>
        <w:tc>
          <w:tcPr>
            <w:tcW w:w="4385" w:type="dxa"/>
          </w:tcPr>
          <w:p w14:paraId="4D5ADE07" w14:textId="77777777" w:rsidR="002079CC" w:rsidRPr="00A127C1" w:rsidRDefault="002079CC" w:rsidP="00A127C1">
            <w:pPr>
              <w:spacing w:line="240" w:lineRule="atLeast"/>
              <w:jc w:val="right"/>
              <w:rPr>
                <w:rFonts w:ascii="Franklin Gothic Book" w:hAnsi="Franklin Gothic Book"/>
                <w:sz w:val="16"/>
                <w:szCs w:val="16"/>
              </w:rPr>
            </w:pPr>
          </w:p>
        </w:tc>
        <w:tc>
          <w:tcPr>
            <w:tcW w:w="2267" w:type="dxa"/>
          </w:tcPr>
          <w:p w14:paraId="32048963" w14:textId="77777777" w:rsidR="002079CC" w:rsidRPr="00A127C1" w:rsidRDefault="002079CC" w:rsidP="00A127C1">
            <w:pPr>
              <w:pStyle w:val="afzendergegevens"/>
              <w:spacing w:line="240" w:lineRule="atLeast"/>
              <w:ind w:hanging="149"/>
              <w:rPr>
                <w:szCs w:val="16"/>
              </w:rPr>
            </w:pPr>
          </w:p>
        </w:tc>
      </w:tr>
      <w:tr w:rsidR="00692A35" w14:paraId="0ACFC20B" w14:textId="77777777" w:rsidTr="00A127C1">
        <w:tc>
          <w:tcPr>
            <w:tcW w:w="2088" w:type="dxa"/>
          </w:tcPr>
          <w:p w14:paraId="63289431" w14:textId="77777777" w:rsidR="002079CC" w:rsidRPr="004435C3" w:rsidRDefault="002079CC" w:rsidP="00A127C1">
            <w:pPr>
              <w:tabs>
                <w:tab w:val="center" w:pos="388"/>
                <w:tab w:val="right" w:pos="776"/>
              </w:tabs>
              <w:spacing w:line="240" w:lineRule="atLeast"/>
            </w:pPr>
            <w:r w:rsidRPr="004435C3">
              <w:tab/>
            </w:r>
          </w:p>
        </w:tc>
        <w:tc>
          <w:tcPr>
            <w:tcW w:w="2093" w:type="dxa"/>
            <w:vMerge/>
          </w:tcPr>
          <w:p w14:paraId="26CA017B" w14:textId="77777777" w:rsidR="002079CC" w:rsidRPr="001C1CB6" w:rsidRDefault="002079CC" w:rsidP="00A127C1">
            <w:pPr>
              <w:spacing w:line="240" w:lineRule="atLeast"/>
            </w:pPr>
          </w:p>
        </w:tc>
        <w:tc>
          <w:tcPr>
            <w:tcW w:w="1565" w:type="dxa"/>
          </w:tcPr>
          <w:p w14:paraId="2EA791D1" w14:textId="77777777" w:rsidR="002079CC" w:rsidRPr="001C1CB6" w:rsidRDefault="002079CC" w:rsidP="00A127C1">
            <w:pPr>
              <w:spacing w:line="240" w:lineRule="atLeast"/>
            </w:pPr>
          </w:p>
        </w:tc>
        <w:tc>
          <w:tcPr>
            <w:tcW w:w="4385" w:type="dxa"/>
          </w:tcPr>
          <w:p w14:paraId="6D91D95D" w14:textId="77777777" w:rsidR="002079CC" w:rsidRPr="00A127C1" w:rsidRDefault="002079CC" w:rsidP="00A127C1">
            <w:pPr>
              <w:spacing w:line="240" w:lineRule="atLeast"/>
              <w:jc w:val="right"/>
              <w:rPr>
                <w:rFonts w:ascii="Franklin Gothic Book" w:hAnsi="Franklin Gothic Book"/>
                <w:sz w:val="16"/>
                <w:szCs w:val="16"/>
              </w:rPr>
            </w:pPr>
          </w:p>
        </w:tc>
        <w:tc>
          <w:tcPr>
            <w:tcW w:w="2267" w:type="dxa"/>
          </w:tcPr>
          <w:p w14:paraId="0F4CA7D8" w14:textId="77777777" w:rsidR="002079CC" w:rsidRPr="00A127C1" w:rsidRDefault="002079CC" w:rsidP="00A127C1">
            <w:pPr>
              <w:pStyle w:val="afzendergegevens"/>
              <w:spacing w:line="240" w:lineRule="atLeast"/>
              <w:rPr>
                <w:szCs w:val="16"/>
              </w:rPr>
            </w:pPr>
          </w:p>
        </w:tc>
      </w:tr>
      <w:tr w:rsidR="00692A35" w14:paraId="36DE2662" w14:textId="77777777" w:rsidTr="00A127C1">
        <w:tc>
          <w:tcPr>
            <w:tcW w:w="2088" w:type="dxa"/>
          </w:tcPr>
          <w:p w14:paraId="5F53D8CA" w14:textId="77777777" w:rsidR="002A601C" w:rsidRPr="00A127C1" w:rsidRDefault="002A601C" w:rsidP="00A127C1">
            <w:pPr>
              <w:spacing w:line="240" w:lineRule="atLeast"/>
              <w:jc w:val="right"/>
              <w:rPr>
                <w:rFonts w:ascii="Franklin Gothic Book" w:hAnsi="Franklin Gothic Book"/>
                <w:sz w:val="16"/>
                <w:szCs w:val="16"/>
              </w:rPr>
            </w:pPr>
          </w:p>
        </w:tc>
        <w:tc>
          <w:tcPr>
            <w:tcW w:w="2093" w:type="dxa"/>
            <w:vMerge/>
          </w:tcPr>
          <w:p w14:paraId="2EB0B173" w14:textId="77777777" w:rsidR="002A601C" w:rsidRDefault="002A601C" w:rsidP="00A127C1">
            <w:pPr>
              <w:spacing w:line="240" w:lineRule="atLeast"/>
            </w:pPr>
          </w:p>
        </w:tc>
        <w:tc>
          <w:tcPr>
            <w:tcW w:w="1565" w:type="dxa"/>
          </w:tcPr>
          <w:p w14:paraId="4B944A1D" w14:textId="77777777" w:rsidR="002A601C" w:rsidRDefault="002A601C" w:rsidP="00A127C1">
            <w:pPr>
              <w:spacing w:line="240" w:lineRule="atLeast"/>
            </w:pPr>
          </w:p>
        </w:tc>
        <w:tc>
          <w:tcPr>
            <w:tcW w:w="4385" w:type="dxa"/>
          </w:tcPr>
          <w:p w14:paraId="12EC235D" w14:textId="77777777" w:rsidR="002A601C" w:rsidRPr="00A127C1" w:rsidRDefault="002A601C" w:rsidP="00A127C1">
            <w:pPr>
              <w:spacing w:line="240" w:lineRule="atLeast"/>
              <w:jc w:val="right"/>
              <w:rPr>
                <w:rFonts w:ascii="Franklin Gothic Book" w:hAnsi="Franklin Gothic Book"/>
                <w:sz w:val="16"/>
                <w:szCs w:val="16"/>
              </w:rPr>
            </w:pPr>
          </w:p>
        </w:tc>
        <w:tc>
          <w:tcPr>
            <w:tcW w:w="2267" w:type="dxa"/>
          </w:tcPr>
          <w:p w14:paraId="08155EAF" w14:textId="77777777" w:rsidR="002A601C" w:rsidRPr="00A127C1" w:rsidRDefault="002A601C" w:rsidP="00A127C1">
            <w:pPr>
              <w:pStyle w:val="afzendergegevens"/>
              <w:spacing w:line="240" w:lineRule="atLeast"/>
              <w:rPr>
                <w:b/>
                <w:sz w:val="16"/>
                <w:szCs w:val="16"/>
              </w:rPr>
            </w:pPr>
          </w:p>
        </w:tc>
      </w:tr>
      <w:tr w:rsidR="00692A35" w14:paraId="2034F026" w14:textId="77777777" w:rsidTr="00A127C1">
        <w:tc>
          <w:tcPr>
            <w:tcW w:w="2088" w:type="dxa"/>
          </w:tcPr>
          <w:p w14:paraId="03734A08" w14:textId="77777777" w:rsidR="002A601C" w:rsidRPr="00A127C1" w:rsidRDefault="002A601C" w:rsidP="00A127C1">
            <w:pPr>
              <w:spacing w:line="240" w:lineRule="atLeast"/>
              <w:jc w:val="right"/>
              <w:rPr>
                <w:rFonts w:ascii="Franklin Gothic Book" w:hAnsi="Franklin Gothic Book"/>
                <w:sz w:val="16"/>
                <w:szCs w:val="16"/>
              </w:rPr>
            </w:pPr>
          </w:p>
        </w:tc>
        <w:tc>
          <w:tcPr>
            <w:tcW w:w="2093" w:type="dxa"/>
          </w:tcPr>
          <w:p w14:paraId="78EBD2DE" w14:textId="77777777" w:rsidR="002A601C" w:rsidRDefault="002A601C" w:rsidP="00A127C1">
            <w:pPr>
              <w:spacing w:line="240" w:lineRule="atLeast"/>
            </w:pPr>
          </w:p>
        </w:tc>
        <w:tc>
          <w:tcPr>
            <w:tcW w:w="1565" w:type="dxa"/>
          </w:tcPr>
          <w:p w14:paraId="0A05972C" w14:textId="77777777" w:rsidR="002A601C" w:rsidRDefault="002A601C" w:rsidP="00A127C1">
            <w:pPr>
              <w:spacing w:line="240" w:lineRule="atLeast"/>
            </w:pPr>
          </w:p>
        </w:tc>
        <w:tc>
          <w:tcPr>
            <w:tcW w:w="4385" w:type="dxa"/>
          </w:tcPr>
          <w:p w14:paraId="138524AA" w14:textId="77777777" w:rsidR="002A601C" w:rsidRPr="00A127C1" w:rsidRDefault="002A601C" w:rsidP="00A127C1">
            <w:pPr>
              <w:spacing w:line="240" w:lineRule="atLeast"/>
              <w:jc w:val="right"/>
              <w:rPr>
                <w:rFonts w:ascii="Franklin Gothic Book" w:hAnsi="Franklin Gothic Book"/>
                <w:sz w:val="16"/>
                <w:szCs w:val="16"/>
              </w:rPr>
            </w:pPr>
          </w:p>
        </w:tc>
        <w:tc>
          <w:tcPr>
            <w:tcW w:w="2267" w:type="dxa"/>
          </w:tcPr>
          <w:p w14:paraId="75DC51A4" w14:textId="77777777" w:rsidR="002A601C" w:rsidRPr="00A127C1" w:rsidRDefault="002A601C" w:rsidP="00A127C1">
            <w:pPr>
              <w:pStyle w:val="afzendergegevens"/>
              <w:spacing w:line="240" w:lineRule="atLeast"/>
              <w:rPr>
                <w:szCs w:val="16"/>
              </w:rPr>
            </w:pPr>
          </w:p>
        </w:tc>
      </w:tr>
      <w:tr w:rsidR="00692A35" w14:paraId="35F7FC23" w14:textId="77777777" w:rsidTr="00A127C1">
        <w:tc>
          <w:tcPr>
            <w:tcW w:w="2088" w:type="dxa"/>
          </w:tcPr>
          <w:p w14:paraId="29EDA71D" w14:textId="77777777" w:rsidR="002A601C" w:rsidRPr="00A127C1" w:rsidRDefault="002A601C" w:rsidP="00A127C1">
            <w:pPr>
              <w:spacing w:line="240" w:lineRule="atLeast"/>
              <w:jc w:val="right"/>
              <w:rPr>
                <w:rFonts w:ascii="Franklin Gothic Book" w:hAnsi="Franklin Gothic Book"/>
                <w:sz w:val="16"/>
                <w:szCs w:val="16"/>
              </w:rPr>
            </w:pPr>
          </w:p>
        </w:tc>
        <w:tc>
          <w:tcPr>
            <w:tcW w:w="2093" w:type="dxa"/>
          </w:tcPr>
          <w:p w14:paraId="1D30DE0D" w14:textId="77777777" w:rsidR="002A601C" w:rsidRDefault="002A601C" w:rsidP="00A127C1">
            <w:pPr>
              <w:spacing w:line="240" w:lineRule="atLeast"/>
            </w:pPr>
          </w:p>
        </w:tc>
        <w:tc>
          <w:tcPr>
            <w:tcW w:w="1565" w:type="dxa"/>
          </w:tcPr>
          <w:p w14:paraId="76C35C61" w14:textId="77777777" w:rsidR="002A601C" w:rsidRDefault="002A601C" w:rsidP="00A127C1">
            <w:pPr>
              <w:spacing w:line="240" w:lineRule="atLeast"/>
            </w:pPr>
          </w:p>
        </w:tc>
        <w:tc>
          <w:tcPr>
            <w:tcW w:w="4385" w:type="dxa"/>
          </w:tcPr>
          <w:p w14:paraId="3FBBF644" w14:textId="77777777" w:rsidR="002A601C" w:rsidRPr="00A127C1" w:rsidRDefault="002A601C" w:rsidP="00A127C1">
            <w:pPr>
              <w:spacing w:line="240" w:lineRule="atLeast"/>
              <w:jc w:val="right"/>
              <w:rPr>
                <w:rFonts w:ascii="Franklin Gothic Book" w:hAnsi="Franklin Gothic Book"/>
                <w:sz w:val="16"/>
                <w:szCs w:val="16"/>
              </w:rPr>
            </w:pPr>
          </w:p>
        </w:tc>
        <w:tc>
          <w:tcPr>
            <w:tcW w:w="2267" w:type="dxa"/>
          </w:tcPr>
          <w:p w14:paraId="28E36074" w14:textId="77777777" w:rsidR="002A601C" w:rsidRPr="00A127C1" w:rsidRDefault="002A601C" w:rsidP="00A127C1">
            <w:pPr>
              <w:pStyle w:val="afzendergegevens"/>
              <w:spacing w:line="240" w:lineRule="atLeast"/>
              <w:rPr>
                <w:szCs w:val="16"/>
              </w:rPr>
            </w:pPr>
          </w:p>
        </w:tc>
      </w:tr>
      <w:tr w:rsidR="00692A35" w14:paraId="3FBDB21D" w14:textId="77777777" w:rsidTr="00A127C1">
        <w:tc>
          <w:tcPr>
            <w:tcW w:w="2088" w:type="dxa"/>
          </w:tcPr>
          <w:p w14:paraId="059094D3" w14:textId="77777777" w:rsidR="002A601C" w:rsidRPr="00216D5B" w:rsidRDefault="002A601C" w:rsidP="00A127C1">
            <w:pPr>
              <w:pStyle w:val="afzendergegevens"/>
              <w:spacing w:line="240" w:lineRule="atLeast"/>
              <w:jc w:val="right"/>
            </w:pPr>
          </w:p>
        </w:tc>
        <w:tc>
          <w:tcPr>
            <w:tcW w:w="2093" w:type="dxa"/>
          </w:tcPr>
          <w:p w14:paraId="16AA086B" w14:textId="77777777" w:rsidR="002A601C" w:rsidRPr="00666292" w:rsidRDefault="002A601C" w:rsidP="00A127C1">
            <w:pPr>
              <w:pStyle w:val="afzendergegevens"/>
              <w:spacing w:line="240" w:lineRule="atLeast"/>
            </w:pPr>
          </w:p>
        </w:tc>
        <w:tc>
          <w:tcPr>
            <w:tcW w:w="1565" w:type="dxa"/>
          </w:tcPr>
          <w:p w14:paraId="1411B954" w14:textId="77777777" w:rsidR="002A601C" w:rsidRDefault="002A601C" w:rsidP="00A127C1">
            <w:pPr>
              <w:spacing w:line="240" w:lineRule="atLeast"/>
            </w:pPr>
          </w:p>
        </w:tc>
        <w:tc>
          <w:tcPr>
            <w:tcW w:w="4385" w:type="dxa"/>
          </w:tcPr>
          <w:p w14:paraId="06FF97CC" w14:textId="77777777" w:rsidR="002A601C" w:rsidRPr="00A467A8" w:rsidRDefault="002A601C" w:rsidP="00A127C1">
            <w:pPr>
              <w:pStyle w:val="afzendergegevens"/>
              <w:spacing w:line="240" w:lineRule="atLeast"/>
              <w:jc w:val="right"/>
            </w:pPr>
          </w:p>
        </w:tc>
        <w:tc>
          <w:tcPr>
            <w:tcW w:w="2267" w:type="dxa"/>
          </w:tcPr>
          <w:p w14:paraId="166F1D24" w14:textId="77777777" w:rsidR="002A601C" w:rsidRDefault="002A601C" w:rsidP="00A127C1">
            <w:pPr>
              <w:pStyle w:val="afzendergegevens"/>
              <w:spacing w:line="240" w:lineRule="atLeast"/>
            </w:pPr>
          </w:p>
        </w:tc>
      </w:tr>
    </w:tbl>
    <w:p w14:paraId="6B66D9AD" w14:textId="58E72409" w:rsidR="001070F5" w:rsidRPr="008262B9" w:rsidRDefault="001070F5" w:rsidP="001070F5">
      <w:pPr>
        <w:pStyle w:val="RapportKop"/>
        <w:spacing w:line="240" w:lineRule="atLeast"/>
        <w:rPr>
          <w:rFonts w:ascii="Helvetica" w:hAnsi="Helvetica"/>
          <w:b/>
        </w:rPr>
      </w:pPr>
      <w:r w:rsidRPr="008262B9">
        <w:rPr>
          <w:rFonts w:ascii="Helvetica" w:hAnsi="Helvetica"/>
          <w:b/>
        </w:rPr>
        <w:t>Emissie inventaris rapport 20</w:t>
      </w:r>
      <w:r w:rsidR="00442160">
        <w:rPr>
          <w:rFonts w:ascii="Helvetica" w:hAnsi="Helvetica"/>
          <w:b/>
        </w:rPr>
        <w:t>2</w:t>
      </w:r>
      <w:r w:rsidR="00A767EC">
        <w:rPr>
          <w:rFonts w:ascii="Helvetica" w:hAnsi="Helvetica"/>
          <w:b/>
        </w:rPr>
        <w:t>3</w:t>
      </w:r>
      <w:r w:rsidRPr="008262B9">
        <w:rPr>
          <w:rFonts w:ascii="Helvetica" w:hAnsi="Helvetica"/>
          <w:b/>
        </w:rPr>
        <w:t xml:space="preserve"> </w:t>
      </w:r>
    </w:p>
    <w:p w14:paraId="63B9A533" w14:textId="77777777" w:rsidR="001070F5" w:rsidRDefault="001070F5" w:rsidP="00933837">
      <w:pPr>
        <w:pStyle w:val="RapportKop"/>
        <w:spacing w:line="240" w:lineRule="atLeast"/>
        <w:rPr>
          <w:rFonts w:ascii="Helvetica" w:hAnsi="Helvetica"/>
        </w:rPr>
      </w:pPr>
    </w:p>
    <w:p w14:paraId="64039055" w14:textId="77777777" w:rsidR="00C86F12" w:rsidRPr="00310475" w:rsidRDefault="009F2F80" w:rsidP="00933837">
      <w:pPr>
        <w:pStyle w:val="RapportKop"/>
        <w:spacing w:line="240" w:lineRule="atLeast"/>
        <w:rPr>
          <w:rFonts w:ascii="Helvetica" w:hAnsi="Helvetica"/>
        </w:rPr>
      </w:pPr>
      <w:r w:rsidRPr="00310475">
        <w:rPr>
          <w:rFonts w:ascii="Helvetica" w:hAnsi="Helvetica"/>
        </w:rPr>
        <w:t>Inhoudsopgave</w:t>
      </w:r>
    </w:p>
    <w:p w14:paraId="77C501EA" w14:textId="77777777" w:rsidR="00C86F12" w:rsidRPr="001C6D23" w:rsidRDefault="00C86F12" w:rsidP="001C6D23">
      <w:pPr>
        <w:spacing w:line="240" w:lineRule="auto"/>
        <w:rPr>
          <w:rFonts w:ascii="Helvetica" w:hAnsi="Helvetica"/>
          <w:sz w:val="22"/>
          <w:szCs w:val="22"/>
        </w:rPr>
      </w:pPr>
    </w:p>
    <w:p w14:paraId="5BE76392" w14:textId="77777777" w:rsidR="001C6D23" w:rsidRPr="001C6D23" w:rsidRDefault="001C6D23" w:rsidP="001C6D23">
      <w:pPr>
        <w:spacing w:line="240" w:lineRule="auto"/>
        <w:rPr>
          <w:rFonts w:ascii="Helvetica" w:hAnsi="Helvetica"/>
          <w:sz w:val="22"/>
          <w:szCs w:val="22"/>
        </w:rPr>
      </w:pPr>
    </w:p>
    <w:p w14:paraId="56E3B1BA" w14:textId="77777777" w:rsidR="001C6D23" w:rsidRPr="001C6D23" w:rsidRDefault="001C6D23" w:rsidP="001C6D23">
      <w:pPr>
        <w:tabs>
          <w:tab w:val="right" w:pos="7797"/>
        </w:tabs>
        <w:spacing w:line="240" w:lineRule="auto"/>
        <w:rPr>
          <w:rFonts w:ascii="Helvetica" w:hAnsi="Helvetica"/>
          <w:sz w:val="24"/>
          <w:szCs w:val="24"/>
        </w:rPr>
      </w:pPr>
      <w:r w:rsidRPr="001C6D23">
        <w:rPr>
          <w:rFonts w:ascii="Helvetica" w:hAnsi="Helvetica"/>
          <w:sz w:val="24"/>
          <w:szCs w:val="24"/>
        </w:rPr>
        <w:t>1 Inleiding en verantwoording</w:t>
      </w:r>
      <w:r w:rsidRPr="001C6D23">
        <w:rPr>
          <w:rFonts w:ascii="Helvetica" w:hAnsi="Helvetica"/>
          <w:sz w:val="24"/>
          <w:szCs w:val="24"/>
        </w:rPr>
        <w:tab/>
        <w:t>3</w:t>
      </w:r>
    </w:p>
    <w:p w14:paraId="782616AA" w14:textId="77777777" w:rsidR="001C6D23" w:rsidRPr="001C6D23" w:rsidRDefault="001C6D23" w:rsidP="001C6D23">
      <w:pPr>
        <w:tabs>
          <w:tab w:val="right" w:pos="7797"/>
        </w:tabs>
        <w:spacing w:line="240" w:lineRule="auto"/>
        <w:rPr>
          <w:rFonts w:ascii="Helvetica" w:hAnsi="Helvetica"/>
          <w:sz w:val="24"/>
          <w:szCs w:val="24"/>
        </w:rPr>
      </w:pPr>
    </w:p>
    <w:p w14:paraId="68407FC0" w14:textId="77777777" w:rsidR="001C6D23" w:rsidRPr="001C6D23" w:rsidRDefault="001C6D23" w:rsidP="001C6D23">
      <w:pPr>
        <w:tabs>
          <w:tab w:val="right" w:pos="7797"/>
        </w:tabs>
        <w:spacing w:line="240" w:lineRule="auto"/>
        <w:rPr>
          <w:rFonts w:ascii="Helvetica" w:hAnsi="Helvetica"/>
          <w:sz w:val="24"/>
          <w:szCs w:val="24"/>
        </w:rPr>
      </w:pPr>
      <w:r w:rsidRPr="001C6D23">
        <w:rPr>
          <w:rFonts w:ascii="Helvetica" w:hAnsi="Helvetica"/>
          <w:sz w:val="24"/>
          <w:szCs w:val="24"/>
        </w:rPr>
        <w:t>2 Beschrijving van de organisatie</w:t>
      </w:r>
      <w:r w:rsidRPr="001C6D23">
        <w:rPr>
          <w:rFonts w:ascii="Helvetica" w:hAnsi="Helvetica"/>
          <w:sz w:val="24"/>
          <w:szCs w:val="24"/>
        </w:rPr>
        <w:tab/>
      </w:r>
      <w:r w:rsidR="00B60A5B">
        <w:rPr>
          <w:rFonts w:ascii="Helvetica" w:hAnsi="Helvetica"/>
          <w:sz w:val="24"/>
          <w:szCs w:val="24"/>
        </w:rPr>
        <w:t>3</w:t>
      </w:r>
      <w:r w:rsidRPr="001C6D23">
        <w:rPr>
          <w:rFonts w:ascii="Helvetica" w:hAnsi="Helvetica"/>
          <w:sz w:val="24"/>
          <w:szCs w:val="24"/>
        </w:rPr>
        <w:tab/>
      </w:r>
    </w:p>
    <w:p w14:paraId="0D71DCAB" w14:textId="77777777" w:rsidR="001C6D23" w:rsidRPr="001C6D23" w:rsidRDefault="001C6D23" w:rsidP="001C6D23">
      <w:pPr>
        <w:tabs>
          <w:tab w:val="right" w:pos="7797"/>
        </w:tabs>
        <w:spacing w:line="240" w:lineRule="auto"/>
        <w:rPr>
          <w:rFonts w:ascii="Helvetica" w:hAnsi="Helvetica"/>
          <w:sz w:val="24"/>
          <w:szCs w:val="24"/>
        </w:rPr>
      </w:pPr>
    </w:p>
    <w:p w14:paraId="642B3F85" w14:textId="77777777" w:rsidR="001C6D23" w:rsidRPr="001C6D23" w:rsidRDefault="001C6D23" w:rsidP="001C6D23">
      <w:pPr>
        <w:tabs>
          <w:tab w:val="right" w:pos="7797"/>
        </w:tabs>
        <w:spacing w:line="240" w:lineRule="auto"/>
        <w:rPr>
          <w:rFonts w:ascii="Helvetica" w:hAnsi="Helvetica"/>
          <w:sz w:val="24"/>
          <w:szCs w:val="24"/>
        </w:rPr>
      </w:pPr>
      <w:r w:rsidRPr="001C6D23">
        <w:rPr>
          <w:rFonts w:ascii="Helvetica" w:hAnsi="Helvetica"/>
          <w:sz w:val="24"/>
          <w:szCs w:val="24"/>
        </w:rPr>
        <w:t>3 Verantwoordelijke</w:t>
      </w:r>
      <w:r w:rsidRPr="001C6D23">
        <w:rPr>
          <w:rFonts w:ascii="Helvetica" w:hAnsi="Helvetica"/>
          <w:sz w:val="24"/>
          <w:szCs w:val="24"/>
        </w:rPr>
        <w:tab/>
      </w:r>
      <w:r w:rsidR="00B60A5B">
        <w:rPr>
          <w:rFonts w:ascii="Helvetica" w:hAnsi="Helvetica"/>
          <w:sz w:val="24"/>
          <w:szCs w:val="24"/>
        </w:rPr>
        <w:t>3</w:t>
      </w:r>
    </w:p>
    <w:p w14:paraId="6A30C262" w14:textId="77777777" w:rsidR="001C6D23" w:rsidRPr="001C6D23" w:rsidRDefault="001C6D23" w:rsidP="001C6D23">
      <w:pPr>
        <w:tabs>
          <w:tab w:val="right" w:pos="7797"/>
        </w:tabs>
        <w:spacing w:line="240" w:lineRule="auto"/>
        <w:rPr>
          <w:rFonts w:ascii="Helvetica" w:hAnsi="Helvetica"/>
          <w:sz w:val="24"/>
          <w:szCs w:val="24"/>
        </w:rPr>
      </w:pPr>
    </w:p>
    <w:p w14:paraId="6B9E071C" w14:textId="77777777" w:rsidR="001C6D23" w:rsidRPr="001C6D23" w:rsidRDefault="001C6D23" w:rsidP="001C6D23">
      <w:pPr>
        <w:tabs>
          <w:tab w:val="right" w:pos="7797"/>
        </w:tabs>
        <w:spacing w:line="240" w:lineRule="auto"/>
        <w:rPr>
          <w:rFonts w:ascii="Helvetica" w:hAnsi="Helvetica"/>
          <w:sz w:val="24"/>
          <w:szCs w:val="24"/>
        </w:rPr>
      </w:pPr>
      <w:r w:rsidRPr="001C6D23">
        <w:rPr>
          <w:rFonts w:ascii="Helvetica" w:hAnsi="Helvetica"/>
          <w:sz w:val="24"/>
          <w:szCs w:val="24"/>
        </w:rPr>
        <w:t>4 Basisjaar en rapportage</w:t>
      </w:r>
      <w:r w:rsidRPr="001C6D23">
        <w:rPr>
          <w:rFonts w:ascii="Helvetica" w:hAnsi="Helvetica"/>
          <w:sz w:val="24"/>
          <w:szCs w:val="24"/>
        </w:rPr>
        <w:tab/>
      </w:r>
      <w:r w:rsidR="00B60A5B">
        <w:rPr>
          <w:rFonts w:ascii="Helvetica" w:hAnsi="Helvetica"/>
          <w:sz w:val="24"/>
          <w:szCs w:val="24"/>
        </w:rPr>
        <w:t>4</w:t>
      </w:r>
    </w:p>
    <w:p w14:paraId="2883B163" w14:textId="77777777" w:rsidR="001C6D23" w:rsidRPr="001C6D23" w:rsidRDefault="001C6D23" w:rsidP="001C6D23">
      <w:pPr>
        <w:tabs>
          <w:tab w:val="right" w:pos="7797"/>
        </w:tabs>
        <w:spacing w:line="240" w:lineRule="auto"/>
        <w:rPr>
          <w:rFonts w:ascii="Helvetica" w:hAnsi="Helvetica"/>
          <w:sz w:val="24"/>
          <w:szCs w:val="24"/>
        </w:rPr>
      </w:pPr>
    </w:p>
    <w:p w14:paraId="5F38F250" w14:textId="77777777" w:rsidR="001C6D23" w:rsidRPr="001C6D23" w:rsidRDefault="001C6D23" w:rsidP="001C6D23">
      <w:pPr>
        <w:tabs>
          <w:tab w:val="right" w:pos="7797"/>
        </w:tabs>
        <w:spacing w:line="240" w:lineRule="auto"/>
        <w:rPr>
          <w:rFonts w:ascii="Helvetica" w:hAnsi="Helvetica"/>
          <w:sz w:val="24"/>
          <w:szCs w:val="24"/>
        </w:rPr>
      </w:pPr>
      <w:r w:rsidRPr="001C6D23">
        <w:rPr>
          <w:rFonts w:ascii="Helvetica" w:hAnsi="Helvetica"/>
          <w:sz w:val="24"/>
          <w:szCs w:val="24"/>
        </w:rPr>
        <w:t>5 Afbakening</w:t>
      </w:r>
      <w:r w:rsidRPr="001C6D23">
        <w:rPr>
          <w:rFonts w:ascii="Helvetica" w:hAnsi="Helvetica"/>
          <w:sz w:val="24"/>
          <w:szCs w:val="24"/>
        </w:rPr>
        <w:tab/>
      </w:r>
      <w:r w:rsidR="00B60A5B">
        <w:rPr>
          <w:rFonts w:ascii="Helvetica" w:hAnsi="Helvetica"/>
          <w:sz w:val="24"/>
          <w:szCs w:val="24"/>
        </w:rPr>
        <w:t>4</w:t>
      </w:r>
    </w:p>
    <w:p w14:paraId="26B4CE9E" w14:textId="77777777" w:rsidR="001C6D23" w:rsidRPr="001C6D23" w:rsidRDefault="001C6D23" w:rsidP="001C6D23">
      <w:pPr>
        <w:tabs>
          <w:tab w:val="right" w:pos="7797"/>
        </w:tabs>
        <w:spacing w:line="240" w:lineRule="auto"/>
        <w:rPr>
          <w:rFonts w:ascii="Helvetica" w:hAnsi="Helvetica"/>
          <w:sz w:val="24"/>
          <w:szCs w:val="24"/>
        </w:rPr>
      </w:pPr>
    </w:p>
    <w:p w14:paraId="016737ED" w14:textId="77777777" w:rsidR="001C6D23" w:rsidRPr="001C6D23" w:rsidRDefault="001C6D23" w:rsidP="001C6D23">
      <w:pPr>
        <w:tabs>
          <w:tab w:val="right" w:pos="7797"/>
        </w:tabs>
        <w:spacing w:line="240" w:lineRule="auto"/>
        <w:rPr>
          <w:rFonts w:ascii="Helvetica" w:hAnsi="Helvetica"/>
          <w:sz w:val="24"/>
          <w:szCs w:val="24"/>
        </w:rPr>
      </w:pPr>
      <w:r w:rsidRPr="001C6D23">
        <w:rPr>
          <w:rFonts w:ascii="Helvetica" w:hAnsi="Helvetica"/>
          <w:sz w:val="24"/>
          <w:szCs w:val="24"/>
        </w:rPr>
        <w:t>6 Directe en indirecte GHG-emissies</w:t>
      </w:r>
      <w:r w:rsidRPr="001C6D23">
        <w:rPr>
          <w:rFonts w:ascii="Helvetica" w:hAnsi="Helvetica"/>
          <w:sz w:val="24"/>
          <w:szCs w:val="24"/>
        </w:rPr>
        <w:tab/>
      </w:r>
      <w:r w:rsidR="00B60A5B">
        <w:rPr>
          <w:rFonts w:ascii="Helvetica" w:hAnsi="Helvetica"/>
          <w:sz w:val="24"/>
          <w:szCs w:val="24"/>
        </w:rPr>
        <w:t>4</w:t>
      </w:r>
    </w:p>
    <w:p w14:paraId="6FD93F3C" w14:textId="77777777" w:rsidR="001C6D23" w:rsidRPr="001C6D23" w:rsidRDefault="001C6D23" w:rsidP="001C6D23">
      <w:pPr>
        <w:tabs>
          <w:tab w:val="right" w:pos="7797"/>
        </w:tabs>
        <w:spacing w:line="240" w:lineRule="auto"/>
        <w:rPr>
          <w:rFonts w:ascii="Helvetica" w:hAnsi="Helvetica"/>
          <w:sz w:val="24"/>
          <w:szCs w:val="24"/>
        </w:rPr>
      </w:pPr>
    </w:p>
    <w:p w14:paraId="7C5BCD37" w14:textId="77777777" w:rsidR="001C6D23" w:rsidRPr="001C6D23" w:rsidRDefault="001C6D23" w:rsidP="001C6D23">
      <w:pPr>
        <w:tabs>
          <w:tab w:val="left" w:pos="284"/>
          <w:tab w:val="right" w:pos="7797"/>
        </w:tabs>
        <w:spacing w:line="240" w:lineRule="auto"/>
        <w:rPr>
          <w:rFonts w:ascii="Helvetica" w:hAnsi="Helvetica"/>
          <w:sz w:val="24"/>
          <w:szCs w:val="24"/>
        </w:rPr>
      </w:pPr>
      <w:r w:rsidRPr="001C6D23">
        <w:rPr>
          <w:rFonts w:ascii="Helvetica" w:hAnsi="Helvetica"/>
          <w:sz w:val="24"/>
          <w:szCs w:val="24"/>
        </w:rPr>
        <w:tab/>
        <w:t>6.1 Berekende GHG-emissie</w:t>
      </w:r>
      <w:r w:rsidRPr="001C6D23">
        <w:rPr>
          <w:rFonts w:ascii="Helvetica" w:hAnsi="Helvetica"/>
          <w:sz w:val="24"/>
          <w:szCs w:val="24"/>
        </w:rPr>
        <w:tab/>
      </w:r>
      <w:r w:rsidR="00B60A5B">
        <w:rPr>
          <w:rFonts w:ascii="Helvetica" w:hAnsi="Helvetica"/>
          <w:sz w:val="24"/>
          <w:szCs w:val="24"/>
        </w:rPr>
        <w:t>4</w:t>
      </w:r>
    </w:p>
    <w:p w14:paraId="68DCBC6D" w14:textId="77777777" w:rsidR="001C6D23" w:rsidRPr="001C6D23" w:rsidRDefault="001C6D23" w:rsidP="001C6D23">
      <w:pPr>
        <w:tabs>
          <w:tab w:val="left" w:pos="284"/>
          <w:tab w:val="right" w:pos="7797"/>
        </w:tabs>
        <w:spacing w:line="240" w:lineRule="auto"/>
        <w:rPr>
          <w:rFonts w:ascii="Helvetica" w:hAnsi="Helvetica"/>
          <w:sz w:val="24"/>
          <w:szCs w:val="24"/>
        </w:rPr>
      </w:pPr>
      <w:r w:rsidRPr="001C6D23">
        <w:rPr>
          <w:rFonts w:ascii="Helvetica" w:hAnsi="Helvetica"/>
          <w:sz w:val="24"/>
          <w:szCs w:val="24"/>
        </w:rPr>
        <w:tab/>
        <w:t>6.2 Verbranding biomassa</w:t>
      </w:r>
      <w:r w:rsidRPr="001C6D23">
        <w:rPr>
          <w:rFonts w:ascii="Helvetica" w:hAnsi="Helvetica"/>
          <w:sz w:val="24"/>
          <w:szCs w:val="24"/>
        </w:rPr>
        <w:tab/>
      </w:r>
      <w:r w:rsidR="00B60A5B">
        <w:rPr>
          <w:rFonts w:ascii="Helvetica" w:hAnsi="Helvetica"/>
          <w:sz w:val="24"/>
          <w:szCs w:val="24"/>
        </w:rPr>
        <w:t>5</w:t>
      </w:r>
    </w:p>
    <w:p w14:paraId="77358EC4" w14:textId="77777777" w:rsidR="001C6D23" w:rsidRPr="001C6D23" w:rsidRDefault="001C6D23" w:rsidP="001C6D23">
      <w:pPr>
        <w:tabs>
          <w:tab w:val="left" w:pos="284"/>
          <w:tab w:val="right" w:pos="7797"/>
        </w:tabs>
        <w:spacing w:line="240" w:lineRule="auto"/>
        <w:rPr>
          <w:rFonts w:ascii="Helvetica" w:hAnsi="Helvetica"/>
          <w:sz w:val="24"/>
          <w:szCs w:val="24"/>
        </w:rPr>
      </w:pPr>
      <w:r w:rsidRPr="001C6D23">
        <w:rPr>
          <w:rFonts w:ascii="Helvetica" w:hAnsi="Helvetica"/>
          <w:sz w:val="24"/>
          <w:szCs w:val="24"/>
        </w:rPr>
        <w:tab/>
        <w:t>6.3 GHG-verwijdering</w:t>
      </w:r>
      <w:r w:rsidRPr="001C6D23">
        <w:rPr>
          <w:rFonts w:ascii="Helvetica" w:hAnsi="Helvetica"/>
          <w:sz w:val="24"/>
          <w:szCs w:val="24"/>
        </w:rPr>
        <w:tab/>
      </w:r>
      <w:r w:rsidR="0055004F">
        <w:rPr>
          <w:rFonts w:ascii="Helvetica" w:hAnsi="Helvetica"/>
          <w:sz w:val="24"/>
          <w:szCs w:val="24"/>
        </w:rPr>
        <w:t>6</w:t>
      </w:r>
    </w:p>
    <w:p w14:paraId="5CB2E7FE" w14:textId="77777777" w:rsidR="001C6D23" w:rsidRPr="001C6D23" w:rsidRDefault="001C6D23" w:rsidP="001C6D23">
      <w:pPr>
        <w:tabs>
          <w:tab w:val="left" w:pos="284"/>
          <w:tab w:val="right" w:pos="7797"/>
        </w:tabs>
        <w:spacing w:line="240" w:lineRule="auto"/>
        <w:rPr>
          <w:rFonts w:ascii="Helvetica" w:hAnsi="Helvetica"/>
          <w:sz w:val="24"/>
          <w:szCs w:val="24"/>
        </w:rPr>
      </w:pPr>
      <w:r w:rsidRPr="001C6D23">
        <w:rPr>
          <w:rFonts w:ascii="Helvetica" w:hAnsi="Helvetica"/>
          <w:sz w:val="24"/>
          <w:szCs w:val="24"/>
        </w:rPr>
        <w:tab/>
        <w:t>6.4 Uitzonderingen</w:t>
      </w:r>
      <w:r w:rsidRPr="001C6D23">
        <w:rPr>
          <w:rFonts w:ascii="Helvetica" w:hAnsi="Helvetica"/>
          <w:sz w:val="24"/>
          <w:szCs w:val="24"/>
        </w:rPr>
        <w:tab/>
      </w:r>
      <w:r w:rsidR="00B60A5B">
        <w:rPr>
          <w:rFonts w:ascii="Helvetica" w:hAnsi="Helvetica"/>
          <w:sz w:val="24"/>
          <w:szCs w:val="24"/>
        </w:rPr>
        <w:t>5</w:t>
      </w:r>
    </w:p>
    <w:p w14:paraId="567ADF9A" w14:textId="77777777" w:rsidR="001C6D23" w:rsidRPr="001C6D23" w:rsidRDefault="001C6D23" w:rsidP="001C6D23">
      <w:pPr>
        <w:tabs>
          <w:tab w:val="left" w:pos="284"/>
          <w:tab w:val="right" w:pos="7797"/>
        </w:tabs>
        <w:spacing w:line="240" w:lineRule="auto"/>
        <w:rPr>
          <w:rFonts w:ascii="Helvetica" w:hAnsi="Helvetica"/>
          <w:sz w:val="24"/>
          <w:szCs w:val="24"/>
        </w:rPr>
      </w:pPr>
      <w:r w:rsidRPr="001C6D23">
        <w:rPr>
          <w:rFonts w:ascii="Helvetica" w:hAnsi="Helvetica"/>
          <w:sz w:val="24"/>
          <w:szCs w:val="24"/>
        </w:rPr>
        <w:tab/>
      </w:r>
      <w:r w:rsidR="00B60A5B">
        <w:rPr>
          <w:rFonts w:ascii="Helvetica" w:hAnsi="Helvetica"/>
          <w:sz w:val="24"/>
          <w:szCs w:val="24"/>
        </w:rPr>
        <w:t xml:space="preserve">6.5 Belangrijkste </w:t>
      </w:r>
      <w:proofErr w:type="spellStart"/>
      <w:r w:rsidR="00B60A5B">
        <w:rPr>
          <w:rFonts w:ascii="Helvetica" w:hAnsi="Helvetica"/>
          <w:sz w:val="24"/>
          <w:szCs w:val="24"/>
        </w:rPr>
        <w:t>beïnvloeders</w:t>
      </w:r>
      <w:proofErr w:type="spellEnd"/>
      <w:r w:rsidR="00B60A5B">
        <w:rPr>
          <w:rFonts w:ascii="Helvetica" w:hAnsi="Helvetica"/>
          <w:sz w:val="24"/>
          <w:szCs w:val="24"/>
        </w:rPr>
        <w:tab/>
        <w:t>5</w:t>
      </w:r>
    </w:p>
    <w:p w14:paraId="42E0F91A" w14:textId="77777777" w:rsidR="001C6D23" w:rsidRPr="001C6D23" w:rsidRDefault="001C6D23" w:rsidP="001C6D23">
      <w:pPr>
        <w:tabs>
          <w:tab w:val="left" w:pos="284"/>
          <w:tab w:val="right" w:pos="7797"/>
        </w:tabs>
        <w:spacing w:line="240" w:lineRule="auto"/>
        <w:rPr>
          <w:rFonts w:ascii="Helvetica" w:hAnsi="Helvetica"/>
          <w:sz w:val="24"/>
          <w:szCs w:val="24"/>
        </w:rPr>
      </w:pPr>
      <w:r w:rsidRPr="001C6D23">
        <w:rPr>
          <w:rFonts w:ascii="Helvetica" w:hAnsi="Helvetica"/>
          <w:sz w:val="24"/>
          <w:szCs w:val="24"/>
        </w:rPr>
        <w:tab/>
        <w:t>6.6 Toekomst</w:t>
      </w:r>
      <w:r w:rsidRPr="001C6D23">
        <w:rPr>
          <w:rFonts w:ascii="Helvetica" w:hAnsi="Helvetica"/>
          <w:sz w:val="24"/>
          <w:szCs w:val="24"/>
        </w:rPr>
        <w:tab/>
      </w:r>
      <w:r w:rsidR="00B60A5B">
        <w:rPr>
          <w:rFonts w:ascii="Helvetica" w:hAnsi="Helvetica"/>
          <w:sz w:val="24"/>
          <w:szCs w:val="24"/>
        </w:rPr>
        <w:t>5</w:t>
      </w:r>
    </w:p>
    <w:p w14:paraId="4BC13256" w14:textId="77777777" w:rsidR="001C6D23" w:rsidRPr="001C6D23" w:rsidRDefault="001C6D23" w:rsidP="001C6D23">
      <w:pPr>
        <w:tabs>
          <w:tab w:val="left" w:pos="284"/>
          <w:tab w:val="right" w:pos="7797"/>
        </w:tabs>
        <w:spacing w:line="240" w:lineRule="auto"/>
        <w:rPr>
          <w:rFonts w:ascii="Helvetica" w:hAnsi="Helvetica"/>
          <w:sz w:val="24"/>
          <w:szCs w:val="24"/>
        </w:rPr>
      </w:pPr>
      <w:r w:rsidRPr="001C6D23">
        <w:rPr>
          <w:rFonts w:ascii="Helvetica" w:hAnsi="Helvetica"/>
          <w:sz w:val="24"/>
          <w:szCs w:val="24"/>
        </w:rPr>
        <w:tab/>
        <w:t>6.7 Significante veranderingen</w:t>
      </w:r>
      <w:r w:rsidRPr="001C6D23">
        <w:rPr>
          <w:rFonts w:ascii="Helvetica" w:hAnsi="Helvetica"/>
          <w:sz w:val="24"/>
          <w:szCs w:val="24"/>
        </w:rPr>
        <w:tab/>
        <w:t>6</w:t>
      </w:r>
    </w:p>
    <w:p w14:paraId="4DB4E98E" w14:textId="77777777" w:rsidR="001C6D23" w:rsidRPr="001C6D23" w:rsidRDefault="001C6D23" w:rsidP="001C6D23">
      <w:pPr>
        <w:tabs>
          <w:tab w:val="left" w:pos="284"/>
          <w:tab w:val="right" w:pos="7797"/>
        </w:tabs>
        <w:spacing w:line="240" w:lineRule="auto"/>
        <w:rPr>
          <w:rFonts w:ascii="Helvetica" w:hAnsi="Helvetica"/>
          <w:sz w:val="24"/>
          <w:szCs w:val="24"/>
        </w:rPr>
      </w:pPr>
    </w:p>
    <w:p w14:paraId="3070BE09" w14:textId="77777777" w:rsidR="001C6D23" w:rsidRPr="001C6D23" w:rsidRDefault="001C6D23" w:rsidP="001C6D23">
      <w:pPr>
        <w:tabs>
          <w:tab w:val="left" w:pos="284"/>
          <w:tab w:val="right" w:pos="7797"/>
        </w:tabs>
        <w:spacing w:line="240" w:lineRule="auto"/>
        <w:rPr>
          <w:rFonts w:ascii="Helvetica" w:hAnsi="Helvetica"/>
          <w:sz w:val="24"/>
          <w:szCs w:val="24"/>
        </w:rPr>
      </w:pPr>
      <w:r w:rsidRPr="001C6D23">
        <w:rPr>
          <w:rFonts w:ascii="Helvetica" w:hAnsi="Helvetica"/>
          <w:sz w:val="24"/>
          <w:szCs w:val="24"/>
        </w:rPr>
        <w:t>7 Kwantificeringsmethoden</w:t>
      </w:r>
      <w:r w:rsidRPr="001C6D23">
        <w:rPr>
          <w:rFonts w:ascii="Helvetica" w:hAnsi="Helvetica"/>
          <w:sz w:val="24"/>
          <w:szCs w:val="24"/>
        </w:rPr>
        <w:tab/>
      </w:r>
      <w:r w:rsidR="00B60A5B">
        <w:rPr>
          <w:rFonts w:ascii="Helvetica" w:hAnsi="Helvetica"/>
          <w:sz w:val="24"/>
          <w:szCs w:val="24"/>
        </w:rPr>
        <w:t>6</w:t>
      </w:r>
    </w:p>
    <w:p w14:paraId="703723C0" w14:textId="77777777" w:rsidR="001C6D23" w:rsidRPr="001C6D23" w:rsidRDefault="001C6D23" w:rsidP="001C6D23">
      <w:pPr>
        <w:tabs>
          <w:tab w:val="left" w:pos="284"/>
          <w:tab w:val="right" w:pos="7797"/>
        </w:tabs>
        <w:spacing w:line="240" w:lineRule="auto"/>
        <w:rPr>
          <w:rFonts w:ascii="Helvetica" w:hAnsi="Helvetica"/>
          <w:sz w:val="24"/>
          <w:szCs w:val="24"/>
        </w:rPr>
      </w:pPr>
    </w:p>
    <w:p w14:paraId="0E637DB4" w14:textId="77777777" w:rsidR="001C6D23" w:rsidRPr="001C6D23" w:rsidRDefault="001C6D23" w:rsidP="001C6D23">
      <w:pPr>
        <w:tabs>
          <w:tab w:val="left" w:pos="284"/>
          <w:tab w:val="right" w:pos="7797"/>
        </w:tabs>
        <w:spacing w:line="240" w:lineRule="auto"/>
        <w:rPr>
          <w:rFonts w:ascii="Helvetica" w:hAnsi="Helvetica"/>
          <w:sz w:val="24"/>
          <w:szCs w:val="24"/>
        </w:rPr>
      </w:pPr>
      <w:r w:rsidRPr="001C6D23">
        <w:rPr>
          <w:rFonts w:ascii="Helvetica" w:hAnsi="Helvetica"/>
          <w:sz w:val="24"/>
          <w:szCs w:val="24"/>
        </w:rPr>
        <w:t>8 Emissiefactoren</w:t>
      </w:r>
      <w:r w:rsidRPr="001C6D23">
        <w:rPr>
          <w:rFonts w:ascii="Helvetica" w:hAnsi="Helvetica"/>
          <w:sz w:val="24"/>
          <w:szCs w:val="24"/>
        </w:rPr>
        <w:tab/>
      </w:r>
      <w:r w:rsidR="00B60A5B">
        <w:rPr>
          <w:rFonts w:ascii="Helvetica" w:hAnsi="Helvetica"/>
          <w:sz w:val="24"/>
          <w:szCs w:val="24"/>
        </w:rPr>
        <w:t>6</w:t>
      </w:r>
    </w:p>
    <w:p w14:paraId="19DA2D19" w14:textId="77777777" w:rsidR="001C6D23" w:rsidRPr="001C6D23" w:rsidRDefault="001C6D23" w:rsidP="001C6D23">
      <w:pPr>
        <w:tabs>
          <w:tab w:val="left" w:pos="284"/>
          <w:tab w:val="right" w:pos="7797"/>
        </w:tabs>
        <w:spacing w:line="240" w:lineRule="auto"/>
        <w:rPr>
          <w:rFonts w:ascii="Helvetica" w:hAnsi="Helvetica"/>
          <w:sz w:val="24"/>
          <w:szCs w:val="24"/>
        </w:rPr>
      </w:pPr>
    </w:p>
    <w:p w14:paraId="6200CF3A" w14:textId="77777777" w:rsidR="001C6D23" w:rsidRPr="001C6D23" w:rsidRDefault="001C6D23" w:rsidP="001C6D23">
      <w:pPr>
        <w:tabs>
          <w:tab w:val="left" w:pos="284"/>
          <w:tab w:val="right" w:pos="7797"/>
        </w:tabs>
        <w:spacing w:line="240" w:lineRule="auto"/>
        <w:rPr>
          <w:rFonts w:ascii="Helvetica" w:hAnsi="Helvetica"/>
          <w:sz w:val="24"/>
          <w:szCs w:val="24"/>
        </w:rPr>
      </w:pPr>
      <w:r w:rsidRPr="001C6D23">
        <w:rPr>
          <w:rFonts w:ascii="Helvetica" w:hAnsi="Helvetica"/>
          <w:sz w:val="24"/>
          <w:szCs w:val="24"/>
        </w:rPr>
        <w:t>9 Onzekerheden</w:t>
      </w:r>
      <w:r w:rsidRPr="001C6D23">
        <w:rPr>
          <w:rFonts w:ascii="Helvetica" w:hAnsi="Helvetica"/>
          <w:sz w:val="24"/>
          <w:szCs w:val="24"/>
        </w:rPr>
        <w:tab/>
        <w:t>7</w:t>
      </w:r>
    </w:p>
    <w:p w14:paraId="541AD848" w14:textId="77777777" w:rsidR="001C6D23" w:rsidRPr="001C6D23" w:rsidRDefault="001C6D23" w:rsidP="001C6D23">
      <w:pPr>
        <w:tabs>
          <w:tab w:val="left" w:pos="284"/>
          <w:tab w:val="right" w:pos="7797"/>
        </w:tabs>
        <w:spacing w:line="240" w:lineRule="auto"/>
        <w:rPr>
          <w:rFonts w:ascii="Helvetica" w:hAnsi="Helvetica"/>
          <w:sz w:val="24"/>
          <w:szCs w:val="24"/>
        </w:rPr>
      </w:pPr>
    </w:p>
    <w:p w14:paraId="24E837CC" w14:textId="77777777" w:rsidR="001C6D23" w:rsidRPr="001C6D23" w:rsidRDefault="00442160" w:rsidP="001C6D23">
      <w:pPr>
        <w:tabs>
          <w:tab w:val="left" w:pos="284"/>
          <w:tab w:val="right" w:pos="7797"/>
        </w:tabs>
        <w:spacing w:line="240" w:lineRule="auto"/>
        <w:rPr>
          <w:rFonts w:ascii="Helvetica" w:hAnsi="Helvetica"/>
          <w:sz w:val="24"/>
          <w:szCs w:val="24"/>
        </w:rPr>
      </w:pPr>
      <w:r>
        <w:rPr>
          <w:rFonts w:ascii="Helvetica" w:hAnsi="Helvetica"/>
          <w:sz w:val="24"/>
          <w:szCs w:val="24"/>
        </w:rPr>
        <w:t>10 Rapportage volgens ISO 14064-1</w:t>
      </w:r>
      <w:r w:rsidR="001C6D23" w:rsidRPr="001C6D23">
        <w:rPr>
          <w:rFonts w:ascii="Helvetica" w:hAnsi="Helvetica"/>
          <w:sz w:val="24"/>
          <w:szCs w:val="24"/>
        </w:rPr>
        <w:tab/>
      </w:r>
      <w:r w:rsidR="00B60A5B">
        <w:rPr>
          <w:rFonts w:ascii="Helvetica" w:hAnsi="Helvetica"/>
          <w:sz w:val="24"/>
          <w:szCs w:val="24"/>
        </w:rPr>
        <w:t>7</w:t>
      </w:r>
    </w:p>
    <w:p w14:paraId="7BB14753" w14:textId="77777777" w:rsidR="001C6D23" w:rsidRPr="001C6D23" w:rsidRDefault="001C6D23" w:rsidP="001C6D23">
      <w:pPr>
        <w:spacing w:line="240" w:lineRule="auto"/>
        <w:rPr>
          <w:rFonts w:ascii="Helvetica" w:hAnsi="Helvetica"/>
          <w:sz w:val="22"/>
          <w:szCs w:val="22"/>
        </w:rPr>
      </w:pPr>
      <w:r w:rsidRPr="001C6D23">
        <w:rPr>
          <w:rFonts w:ascii="Helvetica" w:hAnsi="Helvetica"/>
          <w:sz w:val="24"/>
          <w:szCs w:val="24"/>
        </w:rPr>
        <w:tab/>
      </w:r>
      <w:r w:rsidRPr="001C6D23">
        <w:rPr>
          <w:rFonts w:ascii="Helvetica" w:hAnsi="Helvetica"/>
          <w:sz w:val="24"/>
          <w:szCs w:val="24"/>
        </w:rPr>
        <w:tab/>
      </w:r>
    </w:p>
    <w:p w14:paraId="5B0A4086" w14:textId="77777777" w:rsidR="001C6D23" w:rsidRPr="001C6D23" w:rsidRDefault="001C6D23" w:rsidP="001C6D23">
      <w:pPr>
        <w:spacing w:line="240" w:lineRule="auto"/>
        <w:rPr>
          <w:rFonts w:ascii="Helvetica" w:hAnsi="Helvetica"/>
          <w:sz w:val="22"/>
          <w:szCs w:val="22"/>
        </w:rPr>
      </w:pPr>
    </w:p>
    <w:p w14:paraId="335A3ACF" w14:textId="77777777" w:rsidR="001C6D23" w:rsidRDefault="001C6D23" w:rsidP="001C6D23">
      <w:pPr>
        <w:spacing w:line="240" w:lineRule="auto"/>
        <w:rPr>
          <w:rFonts w:ascii="Helvetica" w:hAnsi="Helvetica"/>
          <w:sz w:val="22"/>
          <w:szCs w:val="22"/>
        </w:rPr>
      </w:pPr>
    </w:p>
    <w:p w14:paraId="278EE0C8" w14:textId="77777777" w:rsidR="001C6D23" w:rsidRDefault="001C6D23" w:rsidP="001C6D23">
      <w:pPr>
        <w:spacing w:line="240" w:lineRule="auto"/>
        <w:rPr>
          <w:rFonts w:ascii="Helvetica" w:hAnsi="Helvetica"/>
          <w:sz w:val="22"/>
          <w:szCs w:val="22"/>
        </w:rPr>
      </w:pPr>
    </w:p>
    <w:p w14:paraId="2F521A5F" w14:textId="77777777" w:rsidR="001C6D23" w:rsidRDefault="001C6D23" w:rsidP="001C6D23">
      <w:pPr>
        <w:spacing w:line="240" w:lineRule="auto"/>
        <w:rPr>
          <w:rFonts w:ascii="Helvetica" w:hAnsi="Helvetica"/>
          <w:sz w:val="22"/>
          <w:szCs w:val="22"/>
        </w:rPr>
      </w:pPr>
    </w:p>
    <w:p w14:paraId="7BCA6D73" w14:textId="77777777" w:rsidR="009F10A1" w:rsidRPr="001C6D23" w:rsidRDefault="009F10A1" w:rsidP="001C6D23">
      <w:pPr>
        <w:pStyle w:val="Kop1"/>
        <w:spacing w:before="0" w:after="0" w:line="240" w:lineRule="auto"/>
        <w:rPr>
          <w:rFonts w:ascii="Helvetica" w:hAnsi="Helvetica"/>
          <w:b/>
          <w:sz w:val="24"/>
          <w:szCs w:val="24"/>
        </w:rPr>
      </w:pPr>
      <w:bookmarkStart w:id="0" w:name="_Toc327715414"/>
      <w:bookmarkStart w:id="1" w:name="_Toc327715954"/>
      <w:r w:rsidRPr="001C6D23">
        <w:rPr>
          <w:rFonts w:ascii="Helvetica" w:hAnsi="Helvetica"/>
          <w:b/>
          <w:sz w:val="24"/>
          <w:szCs w:val="24"/>
        </w:rPr>
        <w:lastRenderedPageBreak/>
        <w:t>Inleiding en verantwoording</w:t>
      </w:r>
      <w:bookmarkEnd w:id="0"/>
      <w:bookmarkEnd w:id="1"/>
    </w:p>
    <w:p w14:paraId="1FD5C4CC" w14:textId="77777777" w:rsidR="009F10A1" w:rsidRPr="001C6D23" w:rsidRDefault="007E1794" w:rsidP="009F10A1">
      <w:pPr>
        <w:rPr>
          <w:rFonts w:ascii="Helvetica" w:hAnsi="Helvetica"/>
          <w:sz w:val="22"/>
          <w:szCs w:val="22"/>
        </w:rPr>
      </w:pPr>
      <w:r>
        <w:rPr>
          <w:rFonts w:ascii="Helvetica" w:hAnsi="Helvetica"/>
          <w:sz w:val="22"/>
          <w:szCs w:val="22"/>
        </w:rPr>
        <w:t>Loonbedrijf Van Diepen BV</w:t>
      </w:r>
      <w:r w:rsidR="007033E5">
        <w:rPr>
          <w:rFonts w:ascii="Helvetica" w:hAnsi="Helvetica"/>
          <w:sz w:val="22"/>
          <w:szCs w:val="22"/>
        </w:rPr>
        <w:t xml:space="preserve"> lever</w:t>
      </w:r>
      <w:r>
        <w:rPr>
          <w:rFonts w:ascii="Helvetica" w:hAnsi="Helvetica"/>
          <w:sz w:val="22"/>
          <w:szCs w:val="22"/>
        </w:rPr>
        <w:t>t</w:t>
      </w:r>
      <w:r w:rsidR="009F10A1" w:rsidRPr="00247CC0">
        <w:rPr>
          <w:rFonts w:ascii="Helvetica" w:hAnsi="Helvetica"/>
          <w:sz w:val="22"/>
          <w:szCs w:val="22"/>
        </w:rPr>
        <w:t xml:space="preserve"> (</w:t>
      </w:r>
      <w:r w:rsidR="007B5746" w:rsidRPr="00247CC0">
        <w:rPr>
          <w:rFonts w:ascii="Helvetica" w:hAnsi="Helvetica"/>
          <w:sz w:val="22"/>
          <w:szCs w:val="22"/>
        </w:rPr>
        <w:t>direct</w:t>
      </w:r>
      <w:r w:rsidR="007B5746" w:rsidRPr="001C6D23">
        <w:rPr>
          <w:rFonts w:ascii="Helvetica" w:hAnsi="Helvetica"/>
          <w:sz w:val="22"/>
          <w:szCs w:val="22"/>
        </w:rPr>
        <w:t xml:space="preserve"> en/of </w:t>
      </w:r>
      <w:r w:rsidR="009F10A1" w:rsidRPr="001C6D23">
        <w:rPr>
          <w:rFonts w:ascii="Helvetica" w:hAnsi="Helvetica"/>
          <w:sz w:val="22"/>
          <w:szCs w:val="22"/>
        </w:rPr>
        <w:t>indirect) producten en diensten aan ProRail</w:t>
      </w:r>
      <w:r w:rsidR="007B5746" w:rsidRPr="001C6D23">
        <w:rPr>
          <w:rFonts w:ascii="Helvetica" w:hAnsi="Helvetica"/>
          <w:sz w:val="22"/>
          <w:szCs w:val="22"/>
        </w:rPr>
        <w:t xml:space="preserve"> en/of Rijkswaterstaat</w:t>
      </w:r>
      <w:r w:rsidR="009F10A1" w:rsidRPr="001C6D23">
        <w:rPr>
          <w:rFonts w:ascii="Helvetica" w:hAnsi="Helvetica"/>
          <w:sz w:val="22"/>
          <w:szCs w:val="22"/>
        </w:rPr>
        <w:t>. Sinds 1 december 2009 hanteert ProRail de door haar zelf ontwikkelde CO</w:t>
      </w:r>
      <w:r w:rsidR="009F10A1" w:rsidRPr="001C6D23">
        <w:rPr>
          <w:rFonts w:ascii="Helvetica" w:hAnsi="Helvetica"/>
          <w:sz w:val="22"/>
          <w:szCs w:val="22"/>
          <w:vertAlign w:val="subscript"/>
        </w:rPr>
        <w:t>2</w:t>
      </w:r>
      <w:r w:rsidR="009F10A1" w:rsidRPr="001C6D23">
        <w:rPr>
          <w:rFonts w:ascii="Helvetica" w:hAnsi="Helvetica"/>
          <w:sz w:val="22"/>
          <w:szCs w:val="22"/>
        </w:rPr>
        <w:t>-prestatieladder bij het selecteren van haar leveranciers.</w:t>
      </w:r>
      <w:r w:rsidR="00247CC0">
        <w:rPr>
          <w:rFonts w:ascii="Helvetica" w:hAnsi="Helvetica"/>
          <w:sz w:val="22"/>
          <w:szCs w:val="22"/>
        </w:rPr>
        <w:t xml:space="preserve"> </w:t>
      </w:r>
      <w:r w:rsidR="007B5746" w:rsidRPr="001C6D23">
        <w:rPr>
          <w:rFonts w:ascii="Helvetica" w:hAnsi="Helvetica"/>
          <w:sz w:val="22"/>
          <w:szCs w:val="22"/>
        </w:rPr>
        <w:t>Rijkswaterstaat hanteert de CO</w:t>
      </w:r>
      <w:r w:rsidR="007B5746" w:rsidRPr="001C6D23">
        <w:rPr>
          <w:rFonts w:ascii="Helvetica" w:hAnsi="Helvetica"/>
          <w:sz w:val="22"/>
          <w:szCs w:val="22"/>
          <w:vertAlign w:val="subscript"/>
        </w:rPr>
        <w:t>2</w:t>
      </w:r>
      <w:r w:rsidR="007B5746" w:rsidRPr="001C6D23">
        <w:rPr>
          <w:rFonts w:ascii="Helvetica" w:hAnsi="Helvetica"/>
          <w:sz w:val="22"/>
          <w:szCs w:val="22"/>
        </w:rPr>
        <w:t xml:space="preserve">-Prestatieladder vanaf 1 januari 2013 op alle Grond- Weg- en Waterbouw aanbestedingen. </w:t>
      </w:r>
      <w:r w:rsidR="009F10A1" w:rsidRPr="001C6D23">
        <w:rPr>
          <w:rFonts w:ascii="Helvetica" w:hAnsi="Helvetica"/>
          <w:sz w:val="22"/>
          <w:szCs w:val="22"/>
        </w:rPr>
        <w:t>Met deze CO</w:t>
      </w:r>
      <w:r w:rsidR="009F10A1" w:rsidRPr="001C6D23">
        <w:rPr>
          <w:rFonts w:ascii="Helvetica" w:hAnsi="Helvetica"/>
          <w:sz w:val="22"/>
          <w:szCs w:val="22"/>
          <w:vertAlign w:val="subscript"/>
        </w:rPr>
        <w:t>2</w:t>
      </w:r>
      <w:r w:rsidR="009F10A1" w:rsidRPr="001C6D23">
        <w:rPr>
          <w:rFonts w:ascii="Helvetica" w:hAnsi="Helvetica"/>
          <w:sz w:val="22"/>
          <w:szCs w:val="22"/>
        </w:rPr>
        <w:t xml:space="preserve">-prestatieladder </w:t>
      </w:r>
      <w:r w:rsidR="00811434" w:rsidRPr="001C6D23">
        <w:rPr>
          <w:rFonts w:ascii="Helvetica" w:hAnsi="Helvetica"/>
          <w:sz w:val="22"/>
          <w:szCs w:val="22"/>
        </w:rPr>
        <w:t xml:space="preserve">worden </w:t>
      </w:r>
      <w:r w:rsidR="009F10A1" w:rsidRPr="001C6D23">
        <w:rPr>
          <w:rFonts w:ascii="Helvetica" w:hAnsi="Helvetica"/>
          <w:sz w:val="22"/>
          <w:szCs w:val="22"/>
        </w:rPr>
        <w:t>leveranciers uit</w:t>
      </w:r>
      <w:r w:rsidR="00811434" w:rsidRPr="001C6D23">
        <w:rPr>
          <w:rFonts w:ascii="Helvetica" w:hAnsi="Helvetica"/>
          <w:sz w:val="22"/>
          <w:szCs w:val="22"/>
        </w:rPr>
        <w:t>gedaagd en gestimuleerd om</w:t>
      </w:r>
      <w:r w:rsidR="009F10A1" w:rsidRPr="001C6D23">
        <w:rPr>
          <w:rFonts w:ascii="Helvetica" w:hAnsi="Helvetica"/>
          <w:sz w:val="22"/>
          <w:szCs w:val="22"/>
        </w:rPr>
        <w:t xml:space="preserve"> de eigen CO</w:t>
      </w:r>
      <w:r w:rsidR="009F10A1" w:rsidRPr="001C6D23">
        <w:rPr>
          <w:rFonts w:ascii="Helvetica" w:hAnsi="Helvetica"/>
          <w:sz w:val="22"/>
          <w:szCs w:val="22"/>
          <w:vertAlign w:val="subscript"/>
        </w:rPr>
        <w:t>2</w:t>
      </w:r>
      <w:r w:rsidR="009F10A1" w:rsidRPr="001C6D23">
        <w:rPr>
          <w:rFonts w:ascii="Helvetica" w:hAnsi="Helvetica"/>
          <w:sz w:val="22"/>
          <w:szCs w:val="22"/>
        </w:rPr>
        <w:t xml:space="preserve"> </w:t>
      </w:r>
      <w:r w:rsidR="00811434" w:rsidRPr="001C6D23">
        <w:rPr>
          <w:rFonts w:ascii="Helvetica" w:hAnsi="Helvetica"/>
          <w:sz w:val="22"/>
          <w:szCs w:val="22"/>
        </w:rPr>
        <w:t>uitstoot</w:t>
      </w:r>
      <w:r w:rsidR="009F10A1" w:rsidRPr="001C6D23">
        <w:rPr>
          <w:rFonts w:ascii="Helvetica" w:hAnsi="Helvetica"/>
          <w:sz w:val="22"/>
          <w:szCs w:val="22"/>
        </w:rPr>
        <w:t xml:space="preserve"> te kennen en te verminderen. Hoe meer een bedrijf zich inspant om CO</w:t>
      </w:r>
      <w:r w:rsidR="009F10A1" w:rsidRPr="001C6D23">
        <w:rPr>
          <w:rFonts w:ascii="Helvetica" w:hAnsi="Helvetica"/>
          <w:sz w:val="22"/>
          <w:szCs w:val="22"/>
          <w:vertAlign w:val="subscript"/>
        </w:rPr>
        <w:t>2</w:t>
      </w:r>
      <w:r w:rsidR="009F10A1" w:rsidRPr="001C6D23">
        <w:rPr>
          <w:rFonts w:ascii="Helvetica" w:hAnsi="Helvetica"/>
          <w:sz w:val="22"/>
          <w:szCs w:val="22"/>
        </w:rPr>
        <w:t xml:space="preserve"> te reduceren, hoe meer kans op gunning van een opdracht. </w:t>
      </w:r>
    </w:p>
    <w:p w14:paraId="66EB8EDD" w14:textId="77777777" w:rsidR="009F10A1" w:rsidRPr="001C6D23" w:rsidRDefault="009F10A1" w:rsidP="009F10A1">
      <w:pPr>
        <w:rPr>
          <w:rFonts w:ascii="Helvetica" w:hAnsi="Helvetica"/>
          <w:sz w:val="22"/>
          <w:szCs w:val="22"/>
        </w:rPr>
      </w:pPr>
    </w:p>
    <w:p w14:paraId="75D49C6F" w14:textId="77777777" w:rsidR="009F10A1" w:rsidRPr="001C6D23" w:rsidRDefault="009F10A1" w:rsidP="009F10A1">
      <w:pPr>
        <w:rPr>
          <w:rFonts w:ascii="Helvetica" w:hAnsi="Helvetica"/>
          <w:sz w:val="22"/>
          <w:szCs w:val="22"/>
        </w:rPr>
      </w:pPr>
      <w:r w:rsidRPr="001C6D23">
        <w:rPr>
          <w:rFonts w:ascii="Helvetica" w:hAnsi="Helvetica"/>
          <w:sz w:val="22"/>
          <w:szCs w:val="22"/>
        </w:rPr>
        <w:t xml:space="preserve">De </w:t>
      </w:r>
      <w:r w:rsidR="007B5746" w:rsidRPr="001C6D23">
        <w:rPr>
          <w:rFonts w:ascii="Helvetica" w:hAnsi="Helvetica"/>
          <w:sz w:val="22"/>
          <w:szCs w:val="22"/>
        </w:rPr>
        <w:t>CO</w:t>
      </w:r>
      <w:r w:rsidR="007B5746" w:rsidRPr="001C6D23">
        <w:rPr>
          <w:rFonts w:ascii="Helvetica" w:hAnsi="Helvetica"/>
          <w:sz w:val="22"/>
          <w:szCs w:val="22"/>
          <w:vertAlign w:val="subscript"/>
        </w:rPr>
        <w:t>2</w:t>
      </w:r>
      <w:r w:rsidR="007B5746" w:rsidRPr="001C6D23">
        <w:rPr>
          <w:rFonts w:ascii="Helvetica" w:hAnsi="Helvetica"/>
          <w:sz w:val="22"/>
          <w:szCs w:val="22"/>
        </w:rPr>
        <w:t>-</w:t>
      </w:r>
      <w:r w:rsidRPr="001C6D23">
        <w:rPr>
          <w:rFonts w:ascii="Helvetica" w:hAnsi="Helvetica"/>
          <w:sz w:val="22"/>
          <w:szCs w:val="22"/>
        </w:rPr>
        <w:t>Prestatieladder kent 4 invalshoeken:</w:t>
      </w:r>
    </w:p>
    <w:p w14:paraId="78823A98" w14:textId="77777777" w:rsidR="009F10A1" w:rsidRPr="001C6D23" w:rsidRDefault="009F10A1" w:rsidP="007B5746">
      <w:pPr>
        <w:numPr>
          <w:ilvl w:val="0"/>
          <w:numId w:val="40"/>
        </w:numPr>
        <w:tabs>
          <w:tab w:val="clear" w:pos="1080"/>
          <w:tab w:val="num" w:pos="810"/>
        </w:tabs>
        <w:spacing w:line="270" w:lineRule="atLeast"/>
        <w:ind w:left="810" w:hanging="450"/>
        <w:rPr>
          <w:rFonts w:ascii="Helvetica" w:hAnsi="Helvetica"/>
          <w:sz w:val="22"/>
          <w:szCs w:val="22"/>
        </w:rPr>
      </w:pPr>
      <w:r w:rsidRPr="001C6D23">
        <w:rPr>
          <w:rFonts w:ascii="Helvetica" w:hAnsi="Helvetica"/>
          <w:sz w:val="22"/>
          <w:szCs w:val="22"/>
        </w:rPr>
        <w:t>Inzicht (het opstellen van een onomstreden CO</w:t>
      </w:r>
      <w:r w:rsidRPr="001C6D23">
        <w:rPr>
          <w:rFonts w:ascii="Helvetica" w:hAnsi="Helvetica"/>
          <w:sz w:val="22"/>
          <w:szCs w:val="22"/>
          <w:vertAlign w:val="subscript"/>
        </w:rPr>
        <w:t>2</w:t>
      </w:r>
      <w:r w:rsidRPr="001C6D23">
        <w:rPr>
          <w:rFonts w:ascii="Helvetica" w:hAnsi="Helvetica"/>
          <w:sz w:val="22"/>
          <w:szCs w:val="22"/>
        </w:rPr>
        <w:t xml:space="preserve"> footprint volgens de ISO 14064-1 norm).</w:t>
      </w:r>
    </w:p>
    <w:p w14:paraId="370EC531" w14:textId="77777777" w:rsidR="009F10A1" w:rsidRPr="001C6D23" w:rsidRDefault="009F10A1" w:rsidP="009F10A1">
      <w:pPr>
        <w:numPr>
          <w:ilvl w:val="0"/>
          <w:numId w:val="40"/>
        </w:numPr>
        <w:tabs>
          <w:tab w:val="clear" w:pos="1080"/>
          <w:tab w:val="num" w:pos="810"/>
        </w:tabs>
        <w:spacing w:line="270" w:lineRule="atLeast"/>
        <w:ind w:hanging="720"/>
        <w:rPr>
          <w:rFonts w:ascii="Helvetica" w:hAnsi="Helvetica"/>
          <w:sz w:val="22"/>
          <w:szCs w:val="22"/>
        </w:rPr>
      </w:pPr>
      <w:r w:rsidRPr="001C6D23">
        <w:rPr>
          <w:rFonts w:ascii="Helvetica" w:hAnsi="Helvetica"/>
          <w:sz w:val="22"/>
          <w:szCs w:val="22"/>
        </w:rPr>
        <w:t>CO</w:t>
      </w:r>
      <w:r w:rsidRPr="001C6D23">
        <w:rPr>
          <w:rFonts w:ascii="Helvetica" w:hAnsi="Helvetica"/>
          <w:sz w:val="22"/>
          <w:szCs w:val="22"/>
          <w:vertAlign w:val="subscript"/>
        </w:rPr>
        <w:t>2</w:t>
      </w:r>
      <w:r w:rsidRPr="001C6D23">
        <w:rPr>
          <w:rFonts w:ascii="Helvetica" w:hAnsi="Helvetica"/>
          <w:sz w:val="22"/>
          <w:szCs w:val="22"/>
        </w:rPr>
        <w:t xml:space="preserve"> reductie (de ambitie van het bedrijf </w:t>
      </w:r>
      <w:r w:rsidR="007B5746" w:rsidRPr="001C6D23">
        <w:rPr>
          <w:rFonts w:ascii="Helvetica" w:hAnsi="Helvetica"/>
          <w:sz w:val="22"/>
          <w:szCs w:val="22"/>
        </w:rPr>
        <w:t xml:space="preserve">om </w:t>
      </w:r>
      <w:r w:rsidRPr="001C6D23">
        <w:rPr>
          <w:rFonts w:ascii="Helvetica" w:hAnsi="Helvetica"/>
          <w:sz w:val="22"/>
          <w:szCs w:val="22"/>
        </w:rPr>
        <w:t>de uitstoot te verminderen).</w:t>
      </w:r>
    </w:p>
    <w:p w14:paraId="4CAFB8E6" w14:textId="77777777" w:rsidR="009F10A1" w:rsidRPr="001C6D23" w:rsidRDefault="009F10A1" w:rsidP="007B5746">
      <w:pPr>
        <w:numPr>
          <w:ilvl w:val="0"/>
          <w:numId w:val="40"/>
        </w:numPr>
        <w:tabs>
          <w:tab w:val="clear" w:pos="1080"/>
          <w:tab w:val="num" w:pos="810"/>
        </w:tabs>
        <w:spacing w:line="270" w:lineRule="atLeast"/>
        <w:ind w:left="810" w:hanging="450"/>
        <w:rPr>
          <w:rFonts w:ascii="Helvetica" w:hAnsi="Helvetica"/>
          <w:sz w:val="22"/>
          <w:szCs w:val="22"/>
        </w:rPr>
      </w:pPr>
      <w:r w:rsidRPr="001C6D23">
        <w:rPr>
          <w:rFonts w:ascii="Helvetica" w:hAnsi="Helvetica"/>
          <w:sz w:val="22"/>
          <w:szCs w:val="22"/>
        </w:rPr>
        <w:t>Transparantie (de wijze waarop een bedrijf intern en extern communiceert over haar CO</w:t>
      </w:r>
      <w:r w:rsidRPr="001C6D23">
        <w:rPr>
          <w:rFonts w:ascii="Helvetica" w:hAnsi="Helvetica"/>
          <w:sz w:val="22"/>
          <w:szCs w:val="22"/>
          <w:vertAlign w:val="subscript"/>
        </w:rPr>
        <w:t>2</w:t>
      </w:r>
      <w:r w:rsidRPr="001C6D23">
        <w:rPr>
          <w:rFonts w:ascii="Helvetica" w:hAnsi="Helvetica"/>
          <w:sz w:val="22"/>
          <w:szCs w:val="22"/>
        </w:rPr>
        <w:t xml:space="preserve"> footprint en reductiedoelstellingen ).</w:t>
      </w:r>
    </w:p>
    <w:p w14:paraId="0C553011" w14:textId="77777777" w:rsidR="009F10A1" w:rsidRPr="001C6D23" w:rsidRDefault="009F10A1" w:rsidP="009F10A1">
      <w:pPr>
        <w:numPr>
          <w:ilvl w:val="0"/>
          <w:numId w:val="40"/>
        </w:numPr>
        <w:tabs>
          <w:tab w:val="clear" w:pos="1080"/>
          <w:tab w:val="num" w:pos="810"/>
        </w:tabs>
        <w:spacing w:line="270" w:lineRule="atLeast"/>
        <w:ind w:hanging="720"/>
        <w:rPr>
          <w:rFonts w:ascii="Helvetica" w:hAnsi="Helvetica"/>
          <w:sz w:val="22"/>
          <w:szCs w:val="22"/>
        </w:rPr>
      </w:pPr>
      <w:r w:rsidRPr="001C6D23">
        <w:rPr>
          <w:rFonts w:ascii="Helvetica" w:hAnsi="Helvetica"/>
          <w:sz w:val="22"/>
          <w:szCs w:val="22"/>
        </w:rPr>
        <w:t>Deelname aan initiatieven (in sector of keten) om CO</w:t>
      </w:r>
      <w:r w:rsidRPr="001C6D23">
        <w:rPr>
          <w:rFonts w:ascii="Helvetica" w:hAnsi="Helvetica"/>
          <w:sz w:val="22"/>
          <w:szCs w:val="22"/>
          <w:vertAlign w:val="subscript"/>
        </w:rPr>
        <w:t>2</w:t>
      </w:r>
      <w:r w:rsidRPr="001C6D23">
        <w:rPr>
          <w:rFonts w:ascii="Helvetica" w:hAnsi="Helvetica"/>
          <w:sz w:val="22"/>
          <w:szCs w:val="22"/>
        </w:rPr>
        <w:t xml:space="preserve"> te reduceren.</w:t>
      </w:r>
    </w:p>
    <w:p w14:paraId="3B21ADDB" w14:textId="77777777" w:rsidR="009F10A1" w:rsidRPr="001C6D23" w:rsidRDefault="009F10A1" w:rsidP="009F10A1">
      <w:pPr>
        <w:rPr>
          <w:rFonts w:ascii="Helvetica" w:hAnsi="Helvetica"/>
          <w:sz w:val="22"/>
          <w:szCs w:val="22"/>
        </w:rPr>
      </w:pPr>
    </w:p>
    <w:p w14:paraId="16176E72" w14:textId="77777777" w:rsidR="009F10A1" w:rsidRPr="001C6D23" w:rsidRDefault="009F10A1" w:rsidP="009F10A1">
      <w:pPr>
        <w:rPr>
          <w:rFonts w:ascii="Helvetica" w:hAnsi="Helvetica"/>
          <w:sz w:val="22"/>
          <w:szCs w:val="22"/>
        </w:rPr>
      </w:pPr>
      <w:r w:rsidRPr="001C6D23">
        <w:rPr>
          <w:rFonts w:ascii="Helvetica" w:hAnsi="Helvetica"/>
          <w:sz w:val="22"/>
          <w:szCs w:val="22"/>
        </w:rPr>
        <w:t xml:space="preserve">Elke invalshoek is onderverdeeld in 5 niveaus, hoe hoger het niveau per invalshoek, hoe meer punten het bedrijf kan vergaren en </w:t>
      </w:r>
      <w:r w:rsidR="008E3DA5" w:rsidRPr="001C6D23">
        <w:rPr>
          <w:rFonts w:ascii="Helvetica" w:hAnsi="Helvetica"/>
          <w:sz w:val="22"/>
          <w:szCs w:val="22"/>
        </w:rPr>
        <w:t xml:space="preserve">uiteindelijk </w:t>
      </w:r>
      <w:r w:rsidRPr="001C6D23">
        <w:rPr>
          <w:rFonts w:ascii="Helvetica" w:hAnsi="Helvetica"/>
          <w:sz w:val="22"/>
          <w:szCs w:val="22"/>
        </w:rPr>
        <w:t>d</w:t>
      </w:r>
      <w:r w:rsidR="008E3DA5" w:rsidRPr="001C6D23">
        <w:rPr>
          <w:rFonts w:ascii="Helvetica" w:hAnsi="Helvetica"/>
          <w:sz w:val="22"/>
          <w:szCs w:val="22"/>
        </w:rPr>
        <w:t>es te</w:t>
      </w:r>
      <w:r w:rsidR="00811434" w:rsidRPr="001C6D23">
        <w:rPr>
          <w:rFonts w:ascii="Helvetica" w:hAnsi="Helvetica"/>
          <w:sz w:val="22"/>
          <w:szCs w:val="22"/>
        </w:rPr>
        <w:t xml:space="preserve"> meer </w:t>
      </w:r>
      <w:r w:rsidRPr="001C6D23">
        <w:rPr>
          <w:rFonts w:ascii="Helvetica" w:hAnsi="Helvetica"/>
          <w:sz w:val="22"/>
          <w:szCs w:val="22"/>
        </w:rPr>
        <w:t xml:space="preserve">gunningvoordeel </w:t>
      </w:r>
      <w:r w:rsidR="00811434" w:rsidRPr="001C6D23">
        <w:rPr>
          <w:rFonts w:ascii="Helvetica" w:hAnsi="Helvetica"/>
          <w:sz w:val="22"/>
          <w:szCs w:val="22"/>
        </w:rPr>
        <w:t>het bedrijf</w:t>
      </w:r>
      <w:r w:rsidR="008E3DA5" w:rsidRPr="001C6D23">
        <w:rPr>
          <w:rFonts w:ascii="Helvetica" w:hAnsi="Helvetica"/>
          <w:sz w:val="22"/>
          <w:szCs w:val="22"/>
        </w:rPr>
        <w:t xml:space="preserve"> ontvangt</w:t>
      </w:r>
      <w:r w:rsidRPr="001C6D23">
        <w:rPr>
          <w:rFonts w:ascii="Helvetica" w:hAnsi="Helvetica"/>
          <w:sz w:val="22"/>
          <w:szCs w:val="22"/>
        </w:rPr>
        <w:t xml:space="preserve">. Een certificerende instantie zal de activiteiten </w:t>
      </w:r>
      <w:r w:rsidRPr="001C6D23">
        <w:rPr>
          <w:rFonts w:ascii="Helvetica" w:hAnsi="Helvetica"/>
          <w:i/>
          <w:sz w:val="22"/>
          <w:szCs w:val="22"/>
        </w:rPr>
        <w:t>beoordelen</w:t>
      </w:r>
      <w:r w:rsidRPr="001C6D23">
        <w:rPr>
          <w:rFonts w:ascii="Helvetica" w:hAnsi="Helvetica"/>
          <w:sz w:val="22"/>
          <w:szCs w:val="22"/>
        </w:rPr>
        <w:t xml:space="preserve"> </w:t>
      </w:r>
      <w:r w:rsidR="008E3DA5" w:rsidRPr="001C6D23">
        <w:rPr>
          <w:rFonts w:ascii="Helvetica" w:hAnsi="Helvetica"/>
          <w:sz w:val="22"/>
          <w:szCs w:val="22"/>
        </w:rPr>
        <w:t>en</w:t>
      </w:r>
      <w:r w:rsidRPr="001C6D23">
        <w:rPr>
          <w:rFonts w:ascii="Helvetica" w:hAnsi="Helvetica"/>
          <w:sz w:val="22"/>
          <w:szCs w:val="22"/>
        </w:rPr>
        <w:t xml:space="preserve"> het niveau van </w:t>
      </w:r>
      <w:r w:rsidR="008E3DA5" w:rsidRPr="001C6D23">
        <w:rPr>
          <w:rFonts w:ascii="Helvetica" w:hAnsi="Helvetica"/>
          <w:sz w:val="22"/>
          <w:szCs w:val="22"/>
        </w:rPr>
        <w:t>het</w:t>
      </w:r>
      <w:r w:rsidRPr="001C6D23">
        <w:rPr>
          <w:rFonts w:ascii="Helvetica" w:hAnsi="Helvetica"/>
          <w:sz w:val="22"/>
          <w:szCs w:val="22"/>
        </w:rPr>
        <w:t xml:space="preserve"> CO</w:t>
      </w:r>
      <w:r w:rsidRPr="001C6D23">
        <w:rPr>
          <w:rFonts w:ascii="Helvetica" w:hAnsi="Helvetica"/>
          <w:sz w:val="22"/>
          <w:szCs w:val="22"/>
          <w:vertAlign w:val="subscript"/>
        </w:rPr>
        <w:t>2</w:t>
      </w:r>
      <w:r w:rsidRPr="001C6D23">
        <w:rPr>
          <w:rFonts w:ascii="Helvetica" w:hAnsi="Helvetica"/>
          <w:sz w:val="22"/>
          <w:szCs w:val="22"/>
        </w:rPr>
        <w:t xml:space="preserve"> bewust-certificaat te bepalen. Hiervoor moeten stappen zijn gezet op alle onderdelen A t/m D van de ladder.</w:t>
      </w:r>
    </w:p>
    <w:p w14:paraId="1BF4D49F" w14:textId="77777777" w:rsidR="009F10A1" w:rsidRPr="001C6D23" w:rsidRDefault="009F10A1" w:rsidP="009F10A1">
      <w:pPr>
        <w:rPr>
          <w:rFonts w:ascii="Helvetica" w:hAnsi="Helvetica"/>
          <w:sz w:val="22"/>
          <w:szCs w:val="22"/>
        </w:rPr>
      </w:pPr>
    </w:p>
    <w:p w14:paraId="1A8D9D00" w14:textId="400CFB1B" w:rsidR="009F10A1" w:rsidRPr="001C6D23" w:rsidRDefault="009F10A1" w:rsidP="009F10A1">
      <w:pPr>
        <w:rPr>
          <w:rFonts w:ascii="Helvetica" w:hAnsi="Helvetica"/>
          <w:sz w:val="22"/>
          <w:szCs w:val="22"/>
        </w:rPr>
      </w:pPr>
      <w:r w:rsidRPr="001C6D23">
        <w:rPr>
          <w:rFonts w:ascii="Helvetica" w:hAnsi="Helvetica"/>
          <w:sz w:val="22"/>
          <w:szCs w:val="22"/>
        </w:rPr>
        <w:t xml:space="preserve">In dit rapport wordt de emissie inventaris van </w:t>
      </w:r>
      <w:proofErr w:type="spellStart"/>
      <w:r w:rsidR="007E1794">
        <w:rPr>
          <w:rFonts w:ascii="Helvetica" w:hAnsi="Helvetica"/>
          <w:sz w:val="22"/>
          <w:szCs w:val="22"/>
        </w:rPr>
        <w:t>Van</w:t>
      </w:r>
      <w:proofErr w:type="spellEnd"/>
      <w:r w:rsidR="007E1794">
        <w:rPr>
          <w:rFonts w:ascii="Helvetica" w:hAnsi="Helvetica"/>
          <w:sz w:val="22"/>
          <w:szCs w:val="22"/>
        </w:rPr>
        <w:t xml:space="preserve"> Diepen </w:t>
      </w:r>
      <w:r w:rsidRPr="001C6D23">
        <w:rPr>
          <w:rFonts w:ascii="Helvetica" w:hAnsi="Helvetica"/>
          <w:sz w:val="22"/>
          <w:szCs w:val="22"/>
        </w:rPr>
        <w:t>over 20</w:t>
      </w:r>
      <w:r w:rsidR="00442160">
        <w:rPr>
          <w:rFonts w:ascii="Helvetica" w:hAnsi="Helvetica"/>
          <w:sz w:val="22"/>
          <w:szCs w:val="22"/>
        </w:rPr>
        <w:t>2</w:t>
      </w:r>
      <w:r w:rsidR="00A767EC">
        <w:rPr>
          <w:rFonts w:ascii="Helvetica" w:hAnsi="Helvetica"/>
          <w:sz w:val="22"/>
          <w:szCs w:val="22"/>
        </w:rPr>
        <w:t>3</w:t>
      </w:r>
      <w:r w:rsidRPr="001C6D23">
        <w:rPr>
          <w:rFonts w:ascii="Helvetica" w:hAnsi="Helvetica"/>
          <w:sz w:val="22"/>
          <w:szCs w:val="22"/>
        </w:rPr>
        <w:t xml:space="preserve"> besproken en richt zich op invalshoek A (</w:t>
      </w:r>
      <w:r w:rsidRPr="001C6D23">
        <w:rPr>
          <w:rFonts w:ascii="Helvetica" w:hAnsi="Helvetica"/>
          <w:i/>
          <w:sz w:val="22"/>
          <w:szCs w:val="22"/>
        </w:rPr>
        <w:t>inzicht</w:t>
      </w:r>
      <w:r w:rsidRPr="001C6D23">
        <w:rPr>
          <w:rFonts w:ascii="Helvetica" w:hAnsi="Helvetica"/>
          <w:sz w:val="22"/>
          <w:szCs w:val="22"/>
        </w:rPr>
        <w:t>) van de CO</w:t>
      </w:r>
      <w:r w:rsidRPr="001C6D23">
        <w:rPr>
          <w:rFonts w:ascii="Helvetica" w:hAnsi="Helvetica"/>
          <w:sz w:val="22"/>
          <w:szCs w:val="22"/>
          <w:vertAlign w:val="subscript"/>
        </w:rPr>
        <w:t>2</w:t>
      </w:r>
      <w:r w:rsidRPr="001C6D23">
        <w:rPr>
          <w:rFonts w:ascii="Helvetica" w:hAnsi="Helvetica"/>
          <w:sz w:val="22"/>
          <w:szCs w:val="22"/>
        </w:rPr>
        <w:t xml:space="preserve"> prestatieladder. De CO</w:t>
      </w:r>
      <w:r w:rsidRPr="001C6D23">
        <w:rPr>
          <w:rFonts w:ascii="Helvetica" w:hAnsi="Helvetica"/>
          <w:sz w:val="22"/>
          <w:szCs w:val="22"/>
          <w:vertAlign w:val="subscript"/>
        </w:rPr>
        <w:t>2</w:t>
      </w:r>
      <w:r w:rsidRPr="001C6D23">
        <w:rPr>
          <w:rFonts w:ascii="Helvetica" w:hAnsi="Helvetica"/>
          <w:sz w:val="22"/>
          <w:szCs w:val="22"/>
        </w:rPr>
        <w:t xml:space="preserve"> voetafdruk geeft een inventarisatie van de totale hoeveelheid uitgestoten broeikasgassen: de GHG emissies. Daarnaast geeft het inzicht in de herkomst van deze emissies met een verdeling naar directe en indirecte GHG emissies (respectievelijk scope 1 en scope 2</w:t>
      </w:r>
      <w:r w:rsidR="00442160">
        <w:rPr>
          <w:rFonts w:ascii="Helvetica" w:hAnsi="Helvetica"/>
          <w:sz w:val="22"/>
          <w:szCs w:val="22"/>
        </w:rPr>
        <w:t xml:space="preserve"> en scope 3 betreffende het onderdeel business </w:t>
      </w:r>
      <w:proofErr w:type="spellStart"/>
      <w:r w:rsidR="00442160">
        <w:rPr>
          <w:rFonts w:ascii="Helvetica" w:hAnsi="Helvetica"/>
          <w:sz w:val="22"/>
          <w:szCs w:val="22"/>
        </w:rPr>
        <w:t>travel</w:t>
      </w:r>
      <w:proofErr w:type="spellEnd"/>
      <w:r w:rsidRPr="001C6D23">
        <w:rPr>
          <w:rFonts w:ascii="Helvetica" w:hAnsi="Helvetica"/>
          <w:sz w:val="22"/>
          <w:szCs w:val="22"/>
        </w:rPr>
        <w:t>).</w:t>
      </w:r>
    </w:p>
    <w:p w14:paraId="45CCB62F" w14:textId="77777777" w:rsidR="009F10A1" w:rsidRPr="001C6D23" w:rsidRDefault="009F10A1" w:rsidP="009F10A1">
      <w:pPr>
        <w:rPr>
          <w:rFonts w:ascii="Helvetica" w:hAnsi="Helvetica"/>
          <w:sz w:val="22"/>
          <w:szCs w:val="22"/>
        </w:rPr>
      </w:pPr>
    </w:p>
    <w:p w14:paraId="5975F0DB" w14:textId="77777777" w:rsidR="009F10A1" w:rsidRPr="001C6D23" w:rsidRDefault="009F10A1" w:rsidP="009F10A1">
      <w:pPr>
        <w:rPr>
          <w:rFonts w:ascii="Helvetica" w:hAnsi="Helvetica"/>
          <w:sz w:val="22"/>
          <w:szCs w:val="22"/>
        </w:rPr>
      </w:pPr>
      <w:r w:rsidRPr="001C6D23">
        <w:rPr>
          <w:rFonts w:ascii="Helvetica" w:hAnsi="Helvetica"/>
          <w:sz w:val="22"/>
          <w:szCs w:val="22"/>
        </w:rPr>
        <w:t xml:space="preserve">De inventarisatie is een verantwoording van onderdeel 3.A.1 uit de prestatieladder en </w:t>
      </w:r>
      <w:bookmarkStart w:id="2" w:name="dhvhiero"/>
      <w:bookmarkEnd w:id="2"/>
      <w:r w:rsidRPr="001C6D23">
        <w:rPr>
          <w:rFonts w:ascii="Helvetica" w:hAnsi="Helvetica"/>
          <w:sz w:val="22"/>
          <w:szCs w:val="22"/>
        </w:rPr>
        <w:t>is uitgevoerd conform de ISO 14064-1; 2006 (E) “</w:t>
      </w:r>
      <w:proofErr w:type="spellStart"/>
      <w:r w:rsidRPr="001C6D23">
        <w:rPr>
          <w:rFonts w:ascii="Helvetica" w:hAnsi="Helvetica"/>
          <w:sz w:val="22"/>
          <w:szCs w:val="22"/>
        </w:rPr>
        <w:t>quantification</w:t>
      </w:r>
      <w:proofErr w:type="spellEnd"/>
      <w:r w:rsidRPr="001C6D23">
        <w:rPr>
          <w:rFonts w:ascii="Helvetica" w:hAnsi="Helvetica"/>
          <w:sz w:val="22"/>
          <w:szCs w:val="22"/>
        </w:rPr>
        <w:t xml:space="preserve"> </w:t>
      </w:r>
      <w:proofErr w:type="spellStart"/>
      <w:r w:rsidRPr="001C6D23">
        <w:rPr>
          <w:rFonts w:ascii="Helvetica" w:hAnsi="Helvetica"/>
          <w:sz w:val="22"/>
          <w:szCs w:val="22"/>
        </w:rPr>
        <w:t>and</w:t>
      </w:r>
      <w:proofErr w:type="spellEnd"/>
      <w:r w:rsidRPr="001C6D23">
        <w:rPr>
          <w:rFonts w:ascii="Helvetica" w:hAnsi="Helvetica"/>
          <w:sz w:val="22"/>
          <w:szCs w:val="22"/>
        </w:rPr>
        <w:t xml:space="preserve"> </w:t>
      </w:r>
      <w:proofErr w:type="spellStart"/>
      <w:r w:rsidRPr="001C6D23">
        <w:rPr>
          <w:rFonts w:ascii="Helvetica" w:hAnsi="Helvetica"/>
          <w:sz w:val="22"/>
          <w:szCs w:val="22"/>
        </w:rPr>
        <w:t>reporting</w:t>
      </w:r>
      <w:proofErr w:type="spellEnd"/>
      <w:r w:rsidRPr="001C6D23">
        <w:rPr>
          <w:rFonts w:ascii="Helvetica" w:hAnsi="Helvetica"/>
          <w:sz w:val="22"/>
          <w:szCs w:val="22"/>
        </w:rPr>
        <w:t xml:space="preserve"> of </w:t>
      </w:r>
      <w:proofErr w:type="spellStart"/>
      <w:r w:rsidRPr="001C6D23">
        <w:rPr>
          <w:rFonts w:ascii="Helvetica" w:hAnsi="Helvetica"/>
          <w:sz w:val="22"/>
          <w:szCs w:val="22"/>
        </w:rPr>
        <w:t>greenhouse</w:t>
      </w:r>
      <w:proofErr w:type="spellEnd"/>
      <w:r w:rsidRPr="001C6D23">
        <w:rPr>
          <w:rFonts w:ascii="Helvetica" w:hAnsi="Helvetica"/>
          <w:sz w:val="22"/>
          <w:szCs w:val="22"/>
        </w:rPr>
        <w:t xml:space="preserve"> gas </w:t>
      </w:r>
      <w:proofErr w:type="spellStart"/>
      <w:r w:rsidRPr="001C6D23">
        <w:rPr>
          <w:rFonts w:ascii="Helvetica" w:hAnsi="Helvetica"/>
          <w:sz w:val="22"/>
          <w:szCs w:val="22"/>
        </w:rPr>
        <w:t>emissions</w:t>
      </w:r>
      <w:proofErr w:type="spellEnd"/>
      <w:r w:rsidRPr="001C6D23">
        <w:rPr>
          <w:rFonts w:ascii="Helvetica" w:hAnsi="Helvetica"/>
          <w:sz w:val="22"/>
          <w:szCs w:val="22"/>
        </w:rPr>
        <w:t xml:space="preserve"> </w:t>
      </w:r>
      <w:proofErr w:type="spellStart"/>
      <w:r w:rsidRPr="001C6D23">
        <w:rPr>
          <w:rFonts w:ascii="Helvetica" w:hAnsi="Helvetica"/>
          <w:sz w:val="22"/>
          <w:szCs w:val="22"/>
        </w:rPr>
        <w:t>and</w:t>
      </w:r>
      <w:proofErr w:type="spellEnd"/>
      <w:r w:rsidRPr="001C6D23">
        <w:rPr>
          <w:rFonts w:ascii="Helvetica" w:hAnsi="Helvetica"/>
          <w:sz w:val="22"/>
          <w:szCs w:val="22"/>
        </w:rPr>
        <w:t xml:space="preserve"> </w:t>
      </w:r>
      <w:proofErr w:type="spellStart"/>
      <w:r w:rsidRPr="001C6D23">
        <w:rPr>
          <w:rFonts w:ascii="Helvetica" w:hAnsi="Helvetica"/>
          <w:sz w:val="22"/>
          <w:szCs w:val="22"/>
        </w:rPr>
        <w:t>removals</w:t>
      </w:r>
      <w:proofErr w:type="spellEnd"/>
      <w:r w:rsidRPr="001C6D23">
        <w:rPr>
          <w:rFonts w:ascii="Helvetica" w:hAnsi="Helvetica"/>
          <w:sz w:val="22"/>
          <w:szCs w:val="22"/>
        </w:rPr>
        <w:t xml:space="preserve">”. In dit rapport wordt de voetprint gerapporteerd volgens § </w:t>
      </w:r>
      <w:r w:rsidR="00A51EC5">
        <w:rPr>
          <w:rFonts w:ascii="Helvetica" w:hAnsi="Helvetica"/>
          <w:sz w:val="22"/>
          <w:szCs w:val="22"/>
        </w:rPr>
        <w:t>9</w:t>
      </w:r>
      <w:r w:rsidRPr="001C6D23">
        <w:rPr>
          <w:rFonts w:ascii="Helvetica" w:hAnsi="Helvetica"/>
          <w:sz w:val="22"/>
          <w:szCs w:val="22"/>
        </w:rPr>
        <w:t xml:space="preserve">.3.1 van deze norm, in het laatste hoofdstuk is hiertoe een cross </w:t>
      </w:r>
      <w:proofErr w:type="spellStart"/>
      <w:r w:rsidRPr="001C6D23">
        <w:rPr>
          <w:rFonts w:ascii="Helvetica" w:hAnsi="Helvetica"/>
          <w:sz w:val="22"/>
          <w:szCs w:val="22"/>
        </w:rPr>
        <w:t>reference</w:t>
      </w:r>
      <w:proofErr w:type="spellEnd"/>
      <w:r w:rsidRPr="001C6D23">
        <w:rPr>
          <w:rFonts w:ascii="Helvetica" w:hAnsi="Helvetica"/>
          <w:sz w:val="22"/>
          <w:szCs w:val="22"/>
        </w:rPr>
        <w:t xml:space="preserve"> </w:t>
      </w:r>
      <w:proofErr w:type="spellStart"/>
      <w:r w:rsidRPr="001C6D23">
        <w:rPr>
          <w:rFonts w:ascii="Helvetica" w:hAnsi="Helvetica"/>
          <w:sz w:val="22"/>
          <w:szCs w:val="22"/>
        </w:rPr>
        <w:t>table</w:t>
      </w:r>
      <w:proofErr w:type="spellEnd"/>
      <w:r w:rsidRPr="001C6D23">
        <w:rPr>
          <w:rFonts w:ascii="Helvetica" w:hAnsi="Helvetica"/>
          <w:sz w:val="22"/>
          <w:szCs w:val="22"/>
        </w:rPr>
        <w:t xml:space="preserve"> opgenomen.</w:t>
      </w:r>
    </w:p>
    <w:p w14:paraId="1CA5DBDA" w14:textId="77777777" w:rsidR="009F10A1" w:rsidRPr="001C6D23" w:rsidRDefault="009F10A1" w:rsidP="009F10A1">
      <w:pPr>
        <w:rPr>
          <w:rFonts w:ascii="Helvetica" w:hAnsi="Helvetica"/>
          <w:sz w:val="22"/>
          <w:szCs w:val="22"/>
        </w:rPr>
      </w:pPr>
    </w:p>
    <w:p w14:paraId="21EFE8F4" w14:textId="77777777" w:rsidR="009F10A1" w:rsidRPr="001C6D23" w:rsidRDefault="009F10A1" w:rsidP="009F10A1">
      <w:pPr>
        <w:rPr>
          <w:rFonts w:ascii="Helvetica" w:hAnsi="Helvetica"/>
          <w:sz w:val="22"/>
          <w:szCs w:val="22"/>
        </w:rPr>
      </w:pPr>
    </w:p>
    <w:p w14:paraId="0BC8994F" w14:textId="77777777" w:rsidR="009F10A1" w:rsidRPr="001C6D23" w:rsidRDefault="009F10A1" w:rsidP="009F10A1">
      <w:pPr>
        <w:rPr>
          <w:rFonts w:ascii="Helvetica" w:hAnsi="Helvetica"/>
          <w:sz w:val="22"/>
          <w:szCs w:val="22"/>
        </w:rPr>
      </w:pPr>
    </w:p>
    <w:p w14:paraId="29AE15D0" w14:textId="77777777" w:rsidR="009F10A1" w:rsidRPr="001C6D23" w:rsidRDefault="009F10A1" w:rsidP="009F10A1">
      <w:pPr>
        <w:rPr>
          <w:rFonts w:ascii="Helvetica" w:hAnsi="Helvetica"/>
          <w:sz w:val="22"/>
          <w:szCs w:val="22"/>
        </w:rPr>
      </w:pPr>
    </w:p>
    <w:p w14:paraId="16878330" w14:textId="77777777" w:rsidR="009F10A1" w:rsidRPr="001C6D23" w:rsidRDefault="009F10A1" w:rsidP="009F10A1">
      <w:pPr>
        <w:rPr>
          <w:rFonts w:ascii="Helvetica" w:hAnsi="Helvetica"/>
          <w:sz w:val="22"/>
          <w:szCs w:val="22"/>
        </w:rPr>
      </w:pPr>
    </w:p>
    <w:p w14:paraId="67C08BDF" w14:textId="77777777" w:rsidR="009F10A1" w:rsidRDefault="009F10A1" w:rsidP="001C6D23">
      <w:pPr>
        <w:pStyle w:val="Kop1"/>
        <w:spacing w:before="0" w:after="0" w:line="240" w:lineRule="auto"/>
        <w:rPr>
          <w:rFonts w:ascii="Helvetica" w:hAnsi="Helvetica"/>
          <w:b/>
          <w:sz w:val="24"/>
          <w:szCs w:val="24"/>
        </w:rPr>
      </w:pPr>
      <w:r w:rsidRPr="001C6D23">
        <w:rPr>
          <w:rFonts w:ascii="Helvetica" w:hAnsi="Helvetica"/>
          <w:sz w:val="22"/>
          <w:szCs w:val="22"/>
        </w:rPr>
        <w:br w:type="page"/>
      </w:r>
      <w:bookmarkStart w:id="3" w:name="_Toc327715415"/>
      <w:bookmarkStart w:id="4" w:name="_Toc327715955"/>
      <w:r w:rsidRPr="001C6D23">
        <w:rPr>
          <w:rFonts w:ascii="Helvetica" w:hAnsi="Helvetica"/>
          <w:b/>
          <w:sz w:val="24"/>
          <w:szCs w:val="24"/>
        </w:rPr>
        <w:lastRenderedPageBreak/>
        <w:t>Beschrijving van de organisatie</w:t>
      </w:r>
      <w:bookmarkEnd w:id="3"/>
      <w:bookmarkEnd w:id="4"/>
    </w:p>
    <w:p w14:paraId="60C2D622" w14:textId="77777777" w:rsidR="002B2C8A" w:rsidRPr="002B2C8A" w:rsidRDefault="002B2C8A" w:rsidP="002B2C8A"/>
    <w:p w14:paraId="2D9DB450" w14:textId="77777777" w:rsidR="002B2C8A" w:rsidRPr="002B2C8A" w:rsidRDefault="002B2C8A" w:rsidP="002B2C8A">
      <w:pPr>
        <w:rPr>
          <w:rFonts w:ascii="Helvetica" w:hAnsi="Helvetica"/>
          <w:b/>
          <w:sz w:val="22"/>
          <w:szCs w:val="22"/>
        </w:rPr>
      </w:pPr>
      <w:r w:rsidRPr="002B2C8A">
        <w:rPr>
          <w:rFonts w:ascii="Helvetica" w:hAnsi="Helvetica"/>
          <w:b/>
          <w:sz w:val="22"/>
          <w:szCs w:val="22"/>
        </w:rPr>
        <w:t>Vestigingen</w:t>
      </w:r>
    </w:p>
    <w:p w14:paraId="161B325D" w14:textId="77777777" w:rsidR="002B2C8A" w:rsidRPr="002B2C8A" w:rsidRDefault="00A51EC5" w:rsidP="002B2C8A">
      <w:pPr>
        <w:rPr>
          <w:rFonts w:ascii="Helvetica" w:hAnsi="Helvetica"/>
          <w:sz w:val="22"/>
          <w:szCs w:val="22"/>
        </w:rPr>
      </w:pPr>
      <w:r>
        <w:rPr>
          <w:rFonts w:ascii="Helvetica" w:hAnsi="Helvetica"/>
          <w:sz w:val="22"/>
          <w:szCs w:val="22"/>
        </w:rPr>
        <w:t>Het bedrijf</w:t>
      </w:r>
      <w:r w:rsidR="002B2C8A" w:rsidRPr="002B2C8A">
        <w:rPr>
          <w:rFonts w:ascii="Helvetica" w:hAnsi="Helvetica"/>
          <w:sz w:val="22"/>
          <w:szCs w:val="22"/>
        </w:rPr>
        <w:t xml:space="preserve"> Loonbedrijf </w:t>
      </w:r>
      <w:r w:rsidR="007E1794">
        <w:rPr>
          <w:rFonts w:ascii="Helvetica" w:hAnsi="Helvetica"/>
          <w:sz w:val="22"/>
          <w:szCs w:val="22"/>
        </w:rPr>
        <w:t>V</w:t>
      </w:r>
      <w:r w:rsidR="002B2C8A" w:rsidRPr="002B2C8A">
        <w:rPr>
          <w:rFonts w:ascii="Helvetica" w:hAnsi="Helvetica"/>
          <w:sz w:val="22"/>
          <w:szCs w:val="22"/>
        </w:rPr>
        <w:t>an Diepen is gevestigd aan de Lutkedijk in Spanbroek. Deze vestiging bevat een goede geoutilleerde werkplaats om</w:t>
      </w:r>
      <w:r w:rsidR="002B2C8A">
        <w:rPr>
          <w:rFonts w:ascii="Helvetica" w:hAnsi="Helvetica"/>
          <w:sz w:val="22"/>
          <w:szCs w:val="22"/>
        </w:rPr>
        <w:t xml:space="preserve"> het </w:t>
      </w:r>
      <w:r w:rsidR="002B2C8A" w:rsidRPr="002B2C8A">
        <w:rPr>
          <w:rFonts w:ascii="Helvetica" w:hAnsi="Helvetica"/>
          <w:sz w:val="22"/>
          <w:szCs w:val="22"/>
        </w:rPr>
        <w:t>materieel in topconditie te houden.</w:t>
      </w:r>
    </w:p>
    <w:p w14:paraId="2C67D056" w14:textId="77777777" w:rsidR="002B2C8A" w:rsidRPr="002B2C8A" w:rsidRDefault="00A51EC5" w:rsidP="002B2C8A">
      <w:pPr>
        <w:rPr>
          <w:rFonts w:ascii="Helvetica" w:hAnsi="Helvetica"/>
          <w:sz w:val="22"/>
          <w:szCs w:val="22"/>
        </w:rPr>
      </w:pPr>
      <w:r>
        <w:rPr>
          <w:rFonts w:ascii="Helvetica" w:hAnsi="Helvetica"/>
          <w:sz w:val="22"/>
          <w:szCs w:val="22"/>
        </w:rPr>
        <w:t>In het verleden was er n</w:t>
      </w:r>
      <w:r w:rsidR="002B2C8A" w:rsidRPr="002B2C8A">
        <w:rPr>
          <w:rFonts w:ascii="Helvetica" w:hAnsi="Helvetica"/>
          <w:sz w:val="22"/>
          <w:szCs w:val="22"/>
        </w:rPr>
        <w:t xml:space="preserve">aast deze hoofdvestiging </w:t>
      </w:r>
      <w:r w:rsidR="002B2C8A">
        <w:rPr>
          <w:rFonts w:ascii="Helvetica" w:hAnsi="Helvetica"/>
          <w:sz w:val="22"/>
          <w:szCs w:val="22"/>
        </w:rPr>
        <w:t xml:space="preserve">een </w:t>
      </w:r>
      <w:r w:rsidR="002B2C8A" w:rsidRPr="002B2C8A">
        <w:rPr>
          <w:rFonts w:ascii="Helvetica" w:hAnsi="Helvetica"/>
          <w:sz w:val="22"/>
          <w:szCs w:val="22"/>
        </w:rPr>
        <w:t>nevenvestiging aan de Noorderbrug in Obdam. Deze vestiging bevat</w:t>
      </w:r>
      <w:r>
        <w:rPr>
          <w:rFonts w:ascii="Helvetica" w:hAnsi="Helvetica"/>
          <w:sz w:val="22"/>
          <w:szCs w:val="22"/>
        </w:rPr>
        <w:t>te</w:t>
      </w:r>
      <w:r w:rsidR="002B2C8A" w:rsidRPr="002B2C8A">
        <w:rPr>
          <w:rFonts w:ascii="Helvetica" w:hAnsi="Helvetica"/>
          <w:sz w:val="22"/>
          <w:szCs w:val="22"/>
        </w:rPr>
        <w:t xml:space="preserve"> </w:t>
      </w:r>
      <w:r w:rsidR="002B2C8A">
        <w:rPr>
          <w:rFonts w:ascii="Helvetica" w:hAnsi="Helvetica"/>
          <w:sz w:val="22"/>
          <w:szCs w:val="22"/>
        </w:rPr>
        <w:t>o.a. een</w:t>
      </w:r>
      <w:r w:rsidR="002B2C8A" w:rsidRPr="002B2C8A">
        <w:rPr>
          <w:rFonts w:ascii="Helvetica" w:hAnsi="Helvetica"/>
          <w:sz w:val="22"/>
          <w:szCs w:val="22"/>
        </w:rPr>
        <w:t xml:space="preserve"> spoelinrichting voor lelies en pioenen.</w:t>
      </w:r>
      <w:r>
        <w:rPr>
          <w:rFonts w:ascii="Helvetica" w:hAnsi="Helvetica"/>
          <w:sz w:val="22"/>
          <w:szCs w:val="22"/>
        </w:rPr>
        <w:t xml:space="preserve"> Vanaf 2020 is dit terrein nog wel eigendom van Loonbedrijf Van Diepen, maar er wordt geen stroom meer verbruikt.</w:t>
      </w:r>
    </w:p>
    <w:p w14:paraId="25B02FB6" w14:textId="77777777" w:rsidR="002B2C8A" w:rsidRPr="002B2C8A" w:rsidRDefault="002B2C8A" w:rsidP="002B2C8A">
      <w:pPr>
        <w:rPr>
          <w:rFonts w:ascii="Helvetica" w:hAnsi="Helvetica"/>
          <w:sz w:val="22"/>
          <w:szCs w:val="22"/>
        </w:rPr>
      </w:pPr>
    </w:p>
    <w:p w14:paraId="732322FE" w14:textId="77777777" w:rsidR="002B2C8A" w:rsidRPr="002B2C8A" w:rsidRDefault="002B2C8A" w:rsidP="002B2C8A">
      <w:pPr>
        <w:rPr>
          <w:rFonts w:ascii="Helvetica" w:hAnsi="Helvetica"/>
          <w:b/>
          <w:sz w:val="22"/>
          <w:szCs w:val="22"/>
        </w:rPr>
      </w:pPr>
      <w:r w:rsidRPr="002B2C8A">
        <w:rPr>
          <w:rFonts w:ascii="Helvetica" w:hAnsi="Helvetica"/>
          <w:b/>
          <w:sz w:val="22"/>
          <w:szCs w:val="22"/>
        </w:rPr>
        <w:t>Personeel</w:t>
      </w:r>
    </w:p>
    <w:p w14:paraId="26026E39" w14:textId="77777777" w:rsidR="002B2C8A" w:rsidRPr="002B2C8A" w:rsidRDefault="002B2C8A" w:rsidP="002B2C8A">
      <w:pPr>
        <w:rPr>
          <w:rFonts w:ascii="Helvetica" w:hAnsi="Helvetica"/>
          <w:sz w:val="22"/>
          <w:szCs w:val="22"/>
        </w:rPr>
      </w:pPr>
      <w:r>
        <w:rPr>
          <w:rFonts w:ascii="Helvetica" w:hAnsi="Helvetica"/>
          <w:sz w:val="22"/>
          <w:szCs w:val="22"/>
        </w:rPr>
        <w:t>V</w:t>
      </w:r>
      <w:r w:rsidRPr="002B2C8A">
        <w:rPr>
          <w:rFonts w:ascii="Helvetica" w:hAnsi="Helvetica"/>
          <w:sz w:val="22"/>
          <w:szCs w:val="22"/>
        </w:rPr>
        <w:t>an Diepen telt ca. 20 medewerkers. Al</w:t>
      </w:r>
      <w:r>
        <w:rPr>
          <w:rFonts w:ascii="Helvetica" w:hAnsi="Helvetica"/>
          <w:sz w:val="22"/>
          <w:szCs w:val="22"/>
        </w:rPr>
        <w:t>le</w:t>
      </w:r>
      <w:r w:rsidRPr="002B2C8A">
        <w:rPr>
          <w:rFonts w:ascii="Helvetica" w:hAnsi="Helvetica"/>
          <w:sz w:val="22"/>
          <w:szCs w:val="22"/>
        </w:rPr>
        <w:t xml:space="preserve"> medewerkers zijn VCA gecertificeerd. </w:t>
      </w:r>
      <w:r>
        <w:rPr>
          <w:rFonts w:ascii="Helvetica" w:hAnsi="Helvetica"/>
          <w:sz w:val="22"/>
          <w:szCs w:val="22"/>
        </w:rPr>
        <w:t>Het</w:t>
      </w:r>
      <w:r w:rsidRPr="002B2C8A">
        <w:rPr>
          <w:rFonts w:ascii="Helvetica" w:hAnsi="Helvetica"/>
          <w:sz w:val="22"/>
          <w:szCs w:val="22"/>
        </w:rPr>
        <w:t xml:space="preserve"> werkgebied omvat geheel Noord-Holland en Flevo</w:t>
      </w:r>
      <w:r w:rsidR="00402816">
        <w:rPr>
          <w:rFonts w:ascii="Helvetica" w:hAnsi="Helvetica"/>
          <w:sz w:val="22"/>
          <w:szCs w:val="22"/>
        </w:rPr>
        <w:t>land</w:t>
      </w:r>
      <w:r w:rsidRPr="002B2C8A">
        <w:rPr>
          <w:rFonts w:ascii="Helvetica" w:hAnsi="Helvetica"/>
          <w:sz w:val="22"/>
          <w:szCs w:val="22"/>
        </w:rPr>
        <w:t>.</w:t>
      </w:r>
    </w:p>
    <w:p w14:paraId="464B559A" w14:textId="77777777" w:rsidR="002B2C8A" w:rsidRPr="002B2C8A" w:rsidRDefault="002B2C8A" w:rsidP="002B2C8A">
      <w:pPr>
        <w:rPr>
          <w:rFonts w:ascii="Helvetica" w:hAnsi="Helvetica"/>
          <w:sz w:val="22"/>
          <w:szCs w:val="22"/>
        </w:rPr>
      </w:pPr>
    </w:p>
    <w:p w14:paraId="531FC711" w14:textId="77777777" w:rsidR="002B2C8A" w:rsidRPr="002B2C8A" w:rsidRDefault="002B2C8A" w:rsidP="002B2C8A">
      <w:pPr>
        <w:rPr>
          <w:rFonts w:ascii="Helvetica" w:hAnsi="Helvetica"/>
          <w:b/>
          <w:sz w:val="22"/>
          <w:szCs w:val="22"/>
        </w:rPr>
      </w:pPr>
      <w:r w:rsidRPr="002B2C8A">
        <w:rPr>
          <w:rFonts w:ascii="Helvetica" w:hAnsi="Helvetica"/>
          <w:b/>
          <w:sz w:val="22"/>
          <w:szCs w:val="22"/>
        </w:rPr>
        <w:t>Werkzaamheden</w:t>
      </w:r>
    </w:p>
    <w:p w14:paraId="0524B404" w14:textId="77777777" w:rsidR="002B2C8A" w:rsidRPr="002B2C8A" w:rsidRDefault="002B2C8A" w:rsidP="002B2C8A">
      <w:pPr>
        <w:rPr>
          <w:rFonts w:ascii="Helvetica" w:hAnsi="Helvetica"/>
          <w:sz w:val="22"/>
          <w:szCs w:val="22"/>
        </w:rPr>
      </w:pPr>
      <w:r>
        <w:rPr>
          <w:rFonts w:ascii="Helvetica" w:hAnsi="Helvetica"/>
          <w:sz w:val="22"/>
          <w:szCs w:val="22"/>
        </w:rPr>
        <w:t xml:space="preserve">Van Diepen voert </w:t>
      </w:r>
      <w:r w:rsidRPr="002B2C8A">
        <w:rPr>
          <w:rFonts w:ascii="Helvetica" w:hAnsi="Helvetica"/>
          <w:sz w:val="22"/>
          <w:szCs w:val="22"/>
        </w:rPr>
        <w:t>werkzaamheden uit in de volgende sectoren:</w:t>
      </w:r>
    </w:p>
    <w:p w14:paraId="6C1AB2F3" w14:textId="77777777" w:rsidR="002B2C8A" w:rsidRPr="00402816" w:rsidRDefault="002B2C8A" w:rsidP="002B2C8A">
      <w:pPr>
        <w:rPr>
          <w:rFonts w:ascii="Helvetica" w:hAnsi="Helvetica"/>
          <w:sz w:val="22"/>
          <w:szCs w:val="22"/>
          <w:u w:val="single"/>
        </w:rPr>
      </w:pPr>
      <w:r w:rsidRPr="00402816">
        <w:rPr>
          <w:rFonts w:ascii="Helvetica" w:hAnsi="Helvetica"/>
          <w:sz w:val="22"/>
          <w:szCs w:val="22"/>
          <w:u w:val="single"/>
        </w:rPr>
        <w:t xml:space="preserve">Tuinbouw </w:t>
      </w:r>
    </w:p>
    <w:p w14:paraId="575008A4" w14:textId="77777777" w:rsidR="002B2C8A" w:rsidRPr="002B2C8A" w:rsidRDefault="002B2C8A" w:rsidP="002B2C8A">
      <w:pPr>
        <w:rPr>
          <w:rFonts w:ascii="Helvetica" w:hAnsi="Helvetica"/>
          <w:sz w:val="22"/>
          <w:szCs w:val="22"/>
        </w:rPr>
      </w:pPr>
      <w:r w:rsidRPr="002B2C8A">
        <w:rPr>
          <w:rFonts w:ascii="Helvetica" w:hAnsi="Helvetica"/>
          <w:sz w:val="22"/>
          <w:szCs w:val="22"/>
        </w:rPr>
        <w:t>In de sector tuinbouw zijn de voornaamste werkzaamheden in de categorieën tulpen en lelieteelt.</w:t>
      </w:r>
    </w:p>
    <w:p w14:paraId="346858DD" w14:textId="77777777" w:rsidR="002B2C8A" w:rsidRPr="00402816" w:rsidRDefault="002B2C8A" w:rsidP="002B2C8A">
      <w:pPr>
        <w:rPr>
          <w:rFonts w:ascii="Helvetica" w:hAnsi="Helvetica"/>
          <w:sz w:val="22"/>
          <w:szCs w:val="22"/>
          <w:u w:val="single"/>
        </w:rPr>
      </w:pPr>
      <w:r w:rsidRPr="00402816">
        <w:rPr>
          <w:rFonts w:ascii="Helvetica" w:hAnsi="Helvetica"/>
          <w:sz w:val="22"/>
          <w:szCs w:val="22"/>
          <w:u w:val="single"/>
        </w:rPr>
        <w:t>Machineverhuur</w:t>
      </w:r>
    </w:p>
    <w:p w14:paraId="2225F599" w14:textId="77777777" w:rsidR="002B2C8A" w:rsidRPr="002B2C8A" w:rsidRDefault="002B2C8A" w:rsidP="002B2C8A">
      <w:pPr>
        <w:rPr>
          <w:rFonts w:ascii="Helvetica" w:hAnsi="Helvetica"/>
          <w:sz w:val="22"/>
          <w:szCs w:val="22"/>
        </w:rPr>
      </w:pPr>
      <w:r w:rsidRPr="002B2C8A">
        <w:rPr>
          <w:rFonts w:ascii="Helvetica" w:hAnsi="Helvetica"/>
          <w:sz w:val="22"/>
          <w:szCs w:val="22"/>
        </w:rPr>
        <w:t>De machines die Loonbedrijf van Diepen verhuurt zijn:</w:t>
      </w:r>
    </w:p>
    <w:p w14:paraId="254BA3DC" w14:textId="77777777" w:rsidR="002B2C8A" w:rsidRPr="002B2C8A" w:rsidRDefault="002B2C8A" w:rsidP="002B2C8A">
      <w:pPr>
        <w:rPr>
          <w:rFonts w:ascii="Helvetica" w:hAnsi="Helvetica"/>
          <w:sz w:val="22"/>
          <w:szCs w:val="22"/>
        </w:rPr>
      </w:pPr>
      <w:r w:rsidRPr="002B2C8A">
        <w:rPr>
          <w:rFonts w:ascii="Helvetica" w:hAnsi="Helvetica"/>
          <w:sz w:val="22"/>
          <w:szCs w:val="22"/>
        </w:rPr>
        <w:t>•Hydraulische kranen van 1.5 tot 24 ton.</w:t>
      </w:r>
    </w:p>
    <w:p w14:paraId="61D9E804" w14:textId="77777777" w:rsidR="002B2C8A" w:rsidRPr="002B2C8A" w:rsidRDefault="002B2C8A" w:rsidP="002B2C8A">
      <w:pPr>
        <w:rPr>
          <w:rFonts w:ascii="Helvetica" w:hAnsi="Helvetica"/>
          <w:sz w:val="22"/>
          <w:szCs w:val="22"/>
        </w:rPr>
      </w:pPr>
      <w:r w:rsidRPr="002B2C8A">
        <w:rPr>
          <w:rFonts w:ascii="Helvetica" w:hAnsi="Helvetica"/>
          <w:sz w:val="22"/>
          <w:szCs w:val="22"/>
        </w:rPr>
        <w:t>•Shovels.</w:t>
      </w:r>
    </w:p>
    <w:p w14:paraId="7FA6CB06" w14:textId="77777777" w:rsidR="002B2C8A" w:rsidRPr="002B2C8A" w:rsidRDefault="002B2C8A" w:rsidP="002B2C8A">
      <w:pPr>
        <w:rPr>
          <w:rFonts w:ascii="Helvetica" w:hAnsi="Helvetica"/>
          <w:sz w:val="22"/>
          <w:szCs w:val="22"/>
        </w:rPr>
      </w:pPr>
      <w:r w:rsidRPr="002B2C8A">
        <w:rPr>
          <w:rFonts w:ascii="Helvetica" w:hAnsi="Helvetica"/>
          <w:sz w:val="22"/>
          <w:szCs w:val="22"/>
        </w:rPr>
        <w:t>•Grondkarren.</w:t>
      </w:r>
    </w:p>
    <w:p w14:paraId="3CC7A2C3" w14:textId="77777777" w:rsidR="002B2C8A" w:rsidRPr="00402816" w:rsidRDefault="002B2C8A" w:rsidP="002B2C8A">
      <w:pPr>
        <w:rPr>
          <w:rFonts w:ascii="Helvetica" w:hAnsi="Helvetica"/>
          <w:sz w:val="22"/>
          <w:szCs w:val="22"/>
          <w:u w:val="single"/>
        </w:rPr>
      </w:pPr>
      <w:r w:rsidRPr="00402816">
        <w:rPr>
          <w:rFonts w:ascii="Helvetica" w:hAnsi="Helvetica"/>
          <w:sz w:val="22"/>
          <w:szCs w:val="22"/>
          <w:u w:val="single"/>
        </w:rPr>
        <w:t xml:space="preserve">Cultuurtechnisch </w:t>
      </w:r>
    </w:p>
    <w:p w14:paraId="51BBD6CD" w14:textId="77777777" w:rsidR="002B2C8A" w:rsidRPr="002B2C8A" w:rsidRDefault="002B2C8A" w:rsidP="002B2C8A">
      <w:pPr>
        <w:rPr>
          <w:rFonts w:ascii="Helvetica" w:hAnsi="Helvetica"/>
          <w:sz w:val="22"/>
          <w:szCs w:val="22"/>
        </w:rPr>
      </w:pPr>
      <w:r w:rsidRPr="002B2C8A">
        <w:rPr>
          <w:rFonts w:ascii="Helvetica" w:hAnsi="Helvetica"/>
          <w:sz w:val="22"/>
          <w:szCs w:val="22"/>
        </w:rPr>
        <w:t>Binnen de sector cultuurtechnisch, houd Loonbedrijf van Diepen zich bezig met:</w:t>
      </w:r>
    </w:p>
    <w:p w14:paraId="2E2C46A6" w14:textId="77777777" w:rsidR="002B2C8A" w:rsidRPr="002B2C8A" w:rsidRDefault="002B2C8A" w:rsidP="002B2C8A">
      <w:pPr>
        <w:rPr>
          <w:rFonts w:ascii="Helvetica" w:hAnsi="Helvetica"/>
          <w:sz w:val="22"/>
          <w:szCs w:val="22"/>
        </w:rPr>
      </w:pPr>
      <w:r w:rsidRPr="002B2C8A">
        <w:rPr>
          <w:rFonts w:ascii="Helvetica" w:hAnsi="Helvetica"/>
          <w:sz w:val="22"/>
          <w:szCs w:val="22"/>
        </w:rPr>
        <w:t>•Bermonderhoud.</w:t>
      </w:r>
    </w:p>
    <w:p w14:paraId="739F0F6A" w14:textId="77777777" w:rsidR="002B2C8A" w:rsidRPr="002B2C8A" w:rsidRDefault="002B2C8A" w:rsidP="002B2C8A">
      <w:pPr>
        <w:rPr>
          <w:rFonts w:ascii="Helvetica" w:hAnsi="Helvetica"/>
          <w:sz w:val="22"/>
          <w:szCs w:val="22"/>
        </w:rPr>
      </w:pPr>
      <w:r w:rsidRPr="002B2C8A">
        <w:rPr>
          <w:rFonts w:ascii="Helvetica" w:hAnsi="Helvetica"/>
          <w:sz w:val="22"/>
          <w:szCs w:val="22"/>
        </w:rPr>
        <w:t>•Drainage.</w:t>
      </w:r>
    </w:p>
    <w:p w14:paraId="381F4FCB" w14:textId="77777777" w:rsidR="002B2C8A" w:rsidRPr="002B2C8A" w:rsidRDefault="002B2C8A" w:rsidP="002B2C8A">
      <w:pPr>
        <w:rPr>
          <w:rFonts w:ascii="Helvetica" w:hAnsi="Helvetica"/>
          <w:sz w:val="22"/>
          <w:szCs w:val="22"/>
        </w:rPr>
      </w:pPr>
      <w:r w:rsidRPr="002B2C8A">
        <w:rPr>
          <w:rFonts w:ascii="Helvetica" w:hAnsi="Helvetica"/>
          <w:sz w:val="22"/>
          <w:szCs w:val="22"/>
        </w:rPr>
        <w:t>•Landverbetering.</w:t>
      </w:r>
    </w:p>
    <w:p w14:paraId="2444E302" w14:textId="77777777" w:rsidR="002B2C8A" w:rsidRPr="00B662DD" w:rsidRDefault="002B2C8A" w:rsidP="002B2C8A">
      <w:pPr>
        <w:rPr>
          <w:rFonts w:ascii="Helvetica" w:hAnsi="Helvetica"/>
          <w:sz w:val="22"/>
          <w:szCs w:val="22"/>
          <w:u w:val="single"/>
        </w:rPr>
      </w:pPr>
      <w:r w:rsidRPr="00B662DD">
        <w:rPr>
          <w:rFonts w:ascii="Helvetica" w:hAnsi="Helvetica"/>
          <w:sz w:val="22"/>
          <w:szCs w:val="22"/>
          <w:u w:val="single"/>
        </w:rPr>
        <w:t>Veehouderij</w:t>
      </w:r>
    </w:p>
    <w:p w14:paraId="01C5896A" w14:textId="77777777" w:rsidR="002B2C8A" w:rsidRPr="002B2C8A" w:rsidRDefault="002B2C8A" w:rsidP="002B2C8A">
      <w:pPr>
        <w:rPr>
          <w:rFonts w:ascii="Helvetica" w:hAnsi="Helvetica"/>
          <w:sz w:val="22"/>
          <w:szCs w:val="22"/>
        </w:rPr>
      </w:pPr>
      <w:r w:rsidRPr="002B2C8A">
        <w:rPr>
          <w:rFonts w:ascii="Helvetica" w:hAnsi="Helvetica"/>
          <w:sz w:val="22"/>
          <w:szCs w:val="22"/>
        </w:rPr>
        <w:t>In de sector veehouderij zijn de voornaamste werkzaamheden:</w:t>
      </w:r>
    </w:p>
    <w:p w14:paraId="12355824" w14:textId="77777777" w:rsidR="002B2C8A" w:rsidRPr="002B2C8A" w:rsidRDefault="002B2C8A" w:rsidP="002B2C8A">
      <w:pPr>
        <w:rPr>
          <w:rFonts w:ascii="Helvetica" w:hAnsi="Helvetica"/>
          <w:sz w:val="22"/>
          <w:szCs w:val="22"/>
        </w:rPr>
      </w:pPr>
      <w:r w:rsidRPr="002B2C8A">
        <w:rPr>
          <w:rFonts w:ascii="Helvetica" w:hAnsi="Helvetica"/>
          <w:sz w:val="22"/>
          <w:szCs w:val="22"/>
        </w:rPr>
        <w:t>•Ruwvoederwinning.</w:t>
      </w:r>
    </w:p>
    <w:p w14:paraId="23830C23" w14:textId="77777777" w:rsidR="002B2C8A" w:rsidRPr="002B2C8A" w:rsidRDefault="002B2C8A" w:rsidP="002B2C8A">
      <w:pPr>
        <w:rPr>
          <w:rFonts w:ascii="Helvetica" w:hAnsi="Helvetica"/>
          <w:sz w:val="22"/>
          <w:szCs w:val="22"/>
        </w:rPr>
      </w:pPr>
      <w:r w:rsidRPr="002B2C8A">
        <w:rPr>
          <w:rFonts w:ascii="Helvetica" w:hAnsi="Helvetica"/>
          <w:sz w:val="22"/>
          <w:szCs w:val="22"/>
        </w:rPr>
        <w:t>•Slootonderhoud.</w:t>
      </w:r>
    </w:p>
    <w:p w14:paraId="757567E3" w14:textId="77777777" w:rsidR="002B2C8A" w:rsidRPr="002B2C8A" w:rsidRDefault="002B2C8A" w:rsidP="002B2C8A">
      <w:pPr>
        <w:rPr>
          <w:rFonts w:ascii="Helvetica" w:hAnsi="Helvetica"/>
          <w:sz w:val="22"/>
          <w:szCs w:val="22"/>
        </w:rPr>
      </w:pPr>
      <w:r w:rsidRPr="002B2C8A">
        <w:rPr>
          <w:rFonts w:ascii="Helvetica" w:hAnsi="Helvetica"/>
          <w:sz w:val="22"/>
          <w:szCs w:val="22"/>
        </w:rPr>
        <w:t>•Mestverwerking.</w:t>
      </w:r>
    </w:p>
    <w:p w14:paraId="341F731D" w14:textId="77777777" w:rsidR="002B2C8A" w:rsidRPr="002B2C8A" w:rsidRDefault="002B2C8A" w:rsidP="002B2C8A">
      <w:pPr>
        <w:rPr>
          <w:rFonts w:ascii="Helvetica" w:hAnsi="Helvetica"/>
          <w:sz w:val="22"/>
          <w:szCs w:val="22"/>
        </w:rPr>
      </w:pPr>
    </w:p>
    <w:p w14:paraId="358FFEEB" w14:textId="77777777" w:rsidR="002B2C8A" w:rsidRPr="002B2C8A" w:rsidRDefault="002B2C8A" w:rsidP="002B2C8A">
      <w:pPr>
        <w:rPr>
          <w:rFonts w:ascii="Helvetica" w:hAnsi="Helvetica"/>
          <w:sz w:val="22"/>
          <w:szCs w:val="22"/>
        </w:rPr>
      </w:pPr>
      <w:r w:rsidRPr="002B2C8A">
        <w:rPr>
          <w:rFonts w:ascii="Helvetica" w:hAnsi="Helvetica"/>
          <w:sz w:val="22"/>
          <w:szCs w:val="22"/>
        </w:rPr>
        <w:t xml:space="preserve">Certificatie </w:t>
      </w:r>
    </w:p>
    <w:p w14:paraId="70335FF9" w14:textId="77777777" w:rsidR="002B2C8A" w:rsidRPr="002B2C8A" w:rsidRDefault="002B2C8A" w:rsidP="002B2C8A">
      <w:pPr>
        <w:rPr>
          <w:rFonts w:ascii="Helvetica" w:hAnsi="Helvetica"/>
          <w:sz w:val="22"/>
          <w:szCs w:val="22"/>
        </w:rPr>
      </w:pPr>
      <w:r w:rsidRPr="002B2C8A">
        <w:rPr>
          <w:rFonts w:ascii="Helvetica" w:hAnsi="Helvetica"/>
          <w:sz w:val="22"/>
          <w:szCs w:val="22"/>
        </w:rPr>
        <w:t>Loonbedrijf van Diepen is in bezit van de volgende kwaliteitscertificaten.</w:t>
      </w:r>
    </w:p>
    <w:p w14:paraId="7DF5D528" w14:textId="77777777" w:rsidR="002B2C8A" w:rsidRPr="00EF2B12" w:rsidRDefault="002B2C8A" w:rsidP="002B2C8A">
      <w:pPr>
        <w:rPr>
          <w:rFonts w:ascii="Helvetica" w:hAnsi="Helvetica"/>
          <w:sz w:val="22"/>
          <w:szCs w:val="22"/>
        </w:rPr>
      </w:pPr>
      <w:r w:rsidRPr="002B2C8A">
        <w:rPr>
          <w:rFonts w:ascii="Helvetica" w:hAnsi="Helvetica"/>
          <w:sz w:val="22"/>
          <w:szCs w:val="22"/>
        </w:rPr>
        <w:t xml:space="preserve">ISO </w:t>
      </w:r>
      <w:r>
        <w:rPr>
          <w:rFonts w:ascii="Helvetica" w:hAnsi="Helvetica"/>
          <w:sz w:val="22"/>
          <w:szCs w:val="22"/>
        </w:rPr>
        <w:t xml:space="preserve">9001, </w:t>
      </w:r>
      <w:r w:rsidRPr="002B2C8A">
        <w:rPr>
          <w:rFonts w:ascii="Helvetica" w:hAnsi="Helvetica"/>
          <w:sz w:val="22"/>
          <w:szCs w:val="22"/>
        </w:rPr>
        <w:t>VCA</w:t>
      </w:r>
      <w:r>
        <w:rPr>
          <w:rFonts w:ascii="Helvetica" w:hAnsi="Helvetica"/>
          <w:sz w:val="22"/>
          <w:szCs w:val="22"/>
        </w:rPr>
        <w:t>**</w:t>
      </w:r>
      <w:r w:rsidR="00EF2B12">
        <w:rPr>
          <w:rFonts w:ascii="Helvetica" w:hAnsi="Helvetica"/>
          <w:sz w:val="22"/>
          <w:szCs w:val="22"/>
        </w:rPr>
        <w:t xml:space="preserve">, </w:t>
      </w:r>
      <w:r w:rsidRPr="002B2C8A">
        <w:rPr>
          <w:rFonts w:ascii="Helvetica" w:hAnsi="Helvetica"/>
          <w:sz w:val="22"/>
          <w:szCs w:val="22"/>
        </w:rPr>
        <w:t>VKL</w:t>
      </w:r>
      <w:r w:rsidR="00EF2B12">
        <w:rPr>
          <w:rFonts w:ascii="Helvetica" w:hAnsi="Helvetica"/>
          <w:sz w:val="22"/>
          <w:szCs w:val="22"/>
        </w:rPr>
        <w:t xml:space="preserve"> en CO</w:t>
      </w:r>
      <w:r w:rsidR="00EF2B12">
        <w:rPr>
          <w:rFonts w:ascii="Helvetica" w:hAnsi="Helvetica"/>
          <w:sz w:val="22"/>
          <w:szCs w:val="22"/>
          <w:vertAlign w:val="subscript"/>
        </w:rPr>
        <w:t>2</w:t>
      </w:r>
      <w:r w:rsidR="00EF2B12">
        <w:rPr>
          <w:rFonts w:ascii="Helvetica" w:hAnsi="Helvetica"/>
          <w:sz w:val="22"/>
          <w:szCs w:val="22"/>
        </w:rPr>
        <w:t>-3.</w:t>
      </w:r>
    </w:p>
    <w:p w14:paraId="5AFF498E" w14:textId="77777777" w:rsidR="009C7555" w:rsidRPr="009C7555" w:rsidRDefault="002B2C8A" w:rsidP="002B2C8A">
      <w:pPr>
        <w:rPr>
          <w:rFonts w:ascii="Helvetica" w:hAnsi="Helvetica"/>
          <w:sz w:val="22"/>
          <w:szCs w:val="22"/>
        </w:rPr>
      </w:pPr>
      <w:r w:rsidRPr="002B2C8A">
        <w:rPr>
          <w:rFonts w:ascii="Helvetica" w:hAnsi="Helvetica"/>
          <w:sz w:val="22"/>
          <w:szCs w:val="22"/>
        </w:rPr>
        <w:t xml:space="preserve"> </w:t>
      </w:r>
    </w:p>
    <w:p w14:paraId="0EB5A754" w14:textId="77777777" w:rsidR="009F10A1" w:rsidRPr="001C6D23" w:rsidRDefault="009F10A1" w:rsidP="001C6D23">
      <w:pPr>
        <w:pStyle w:val="Kop1"/>
        <w:spacing w:before="0" w:after="0" w:line="240" w:lineRule="auto"/>
        <w:rPr>
          <w:rFonts w:ascii="Helvetica" w:hAnsi="Helvetica"/>
          <w:b/>
          <w:sz w:val="24"/>
          <w:szCs w:val="24"/>
        </w:rPr>
      </w:pPr>
      <w:bookmarkStart w:id="5" w:name="_Toc280352950"/>
      <w:bookmarkStart w:id="6" w:name="_Toc298250965"/>
      <w:bookmarkStart w:id="7" w:name="_Toc327715417"/>
      <w:bookmarkStart w:id="8" w:name="_Toc327715957"/>
      <w:r w:rsidRPr="001C6D23">
        <w:rPr>
          <w:rFonts w:ascii="Helvetica" w:hAnsi="Helvetica"/>
          <w:b/>
          <w:sz w:val="24"/>
          <w:szCs w:val="24"/>
        </w:rPr>
        <w:t>Verantwoordelijke</w:t>
      </w:r>
      <w:bookmarkEnd w:id="5"/>
      <w:bookmarkEnd w:id="6"/>
      <w:bookmarkEnd w:id="7"/>
      <w:bookmarkEnd w:id="8"/>
    </w:p>
    <w:p w14:paraId="69E0F3B7" w14:textId="77777777" w:rsidR="009F10A1" w:rsidRPr="001C6D23" w:rsidRDefault="009F10A1" w:rsidP="009F10A1">
      <w:pPr>
        <w:rPr>
          <w:rFonts w:ascii="Helvetica" w:hAnsi="Helvetica"/>
          <w:sz w:val="22"/>
          <w:szCs w:val="22"/>
        </w:rPr>
      </w:pPr>
      <w:r w:rsidRPr="001C6D23">
        <w:rPr>
          <w:rFonts w:ascii="Helvetica" w:hAnsi="Helvetica"/>
          <w:sz w:val="22"/>
          <w:szCs w:val="22"/>
        </w:rPr>
        <w:t>De verantwoordelijkheid voor de stuurcyclus CO</w:t>
      </w:r>
      <w:r w:rsidRPr="001C6D23">
        <w:rPr>
          <w:rFonts w:ascii="Helvetica" w:hAnsi="Helvetica"/>
          <w:sz w:val="22"/>
          <w:szCs w:val="22"/>
          <w:vertAlign w:val="subscript"/>
        </w:rPr>
        <w:t>2</w:t>
      </w:r>
      <w:r w:rsidRPr="001C6D23">
        <w:rPr>
          <w:rFonts w:ascii="Helvetica" w:hAnsi="Helvetica"/>
          <w:sz w:val="22"/>
          <w:szCs w:val="22"/>
        </w:rPr>
        <w:t xml:space="preserve"> reductie alsmede alle activiteiten die hier aan gekoppeld zijn, zoals het behalen van de doelstellingen, is</w:t>
      </w:r>
      <w:r w:rsidR="002B2C8A">
        <w:rPr>
          <w:rFonts w:ascii="Helvetica" w:hAnsi="Helvetica"/>
          <w:sz w:val="22"/>
          <w:szCs w:val="22"/>
        </w:rPr>
        <w:t xml:space="preserve"> Jeroen van Diepen</w:t>
      </w:r>
      <w:r w:rsidR="003C1CB9">
        <w:rPr>
          <w:rFonts w:ascii="Helvetica" w:hAnsi="Helvetica"/>
          <w:sz w:val="22"/>
          <w:szCs w:val="22"/>
        </w:rPr>
        <w:t xml:space="preserve"> </w:t>
      </w:r>
      <w:r w:rsidR="00310475" w:rsidRPr="001C6D23">
        <w:rPr>
          <w:rFonts w:ascii="Helvetica" w:hAnsi="Helvetica"/>
          <w:sz w:val="22"/>
          <w:szCs w:val="22"/>
        </w:rPr>
        <w:t xml:space="preserve">de </w:t>
      </w:r>
      <w:r w:rsidR="00B64313" w:rsidRPr="001C6D23">
        <w:rPr>
          <w:rFonts w:ascii="Helvetica" w:hAnsi="Helvetica"/>
          <w:i/>
          <w:sz w:val="22"/>
          <w:szCs w:val="22"/>
        </w:rPr>
        <w:t>CO</w:t>
      </w:r>
      <w:r w:rsidR="00B64313" w:rsidRPr="001C6D23">
        <w:rPr>
          <w:rFonts w:ascii="Helvetica" w:hAnsi="Helvetica"/>
          <w:i/>
          <w:sz w:val="22"/>
          <w:szCs w:val="22"/>
          <w:vertAlign w:val="subscript"/>
        </w:rPr>
        <w:t>2</w:t>
      </w:r>
      <w:r w:rsidR="00B64313" w:rsidRPr="001C6D23">
        <w:rPr>
          <w:rFonts w:ascii="Helvetica" w:hAnsi="Helvetica"/>
          <w:i/>
          <w:sz w:val="22"/>
          <w:szCs w:val="22"/>
        </w:rPr>
        <w:t xml:space="preserve"> verantwoordelijke</w:t>
      </w:r>
      <w:r w:rsidRPr="001C6D23">
        <w:rPr>
          <w:rFonts w:ascii="Helvetica" w:hAnsi="Helvetica"/>
          <w:sz w:val="22"/>
          <w:szCs w:val="22"/>
        </w:rPr>
        <w:t>. Hij rapp</w:t>
      </w:r>
      <w:r w:rsidR="00310475" w:rsidRPr="001C6D23">
        <w:rPr>
          <w:rFonts w:ascii="Helvetica" w:hAnsi="Helvetica"/>
          <w:sz w:val="22"/>
          <w:szCs w:val="22"/>
        </w:rPr>
        <w:t>orteert direct aan de directie.</w:t>
      </w:r>
    </w:p>
    <w:p w14:paraId="75F2A824" w14:textId="77777777" w:rsidR="00FA3B66" w:rsidRPr="00310475" w:rsidRDefault="00FA3B66" w:rsidP="001C6D23">
      <w:pPr>
        <w:spacing w:line="240" w:lineRule="auto"/>
        <w:rPr>
          <w:rFonts w:ascii="Helvetica" w:hAnsi="Helvetica"/>
        </w:rPr>
      </w:pPr>
    </w:p>
    <w:p w14:paraId="79296629" w14:textId="77777777" w:rsidR="009F10A1" w:rsidRPr="001C6D23" w:rsidRDefault="009F10A1" w:rsidP="001C6D23">
      <w:pPr>
        <w:pStyle w:val="Kop1"/>
        <w:spacing w:before="0" w:after="0" w:line="240" w:lineRule="auto"/>
        <w:rPr>
          <w:rFonts w:ascii="Helvetica" w:hAnsi="Helvetica"/>
          <w:b/>
          <w:sz w:val="24"/>
          <w:szCs w:val="24"/>
        </w:rPr>
      </w:pPr>
      <w:bookmarkStart w:id="9" w:name="_Toc280352951"/>
      <w:bookmarkStart w:id="10" w:name="_Toc298250966"/>
      <w:bookmarkStart w:id="11" w:name="_Toc327715418"/>
      <w:bookmarkStart w:id="12" w:name="_Toc327715958"/>
      <w:r w:rsidRPr="001C6D23">
        <w:rPr>
          <w:rFonts w:ascii="Helvetica" w:hAnsi="Helvetica"/>
          <w:b/>
          <w:sz w:val="24"/>
          <w:szCs w:val="24"/>
        </w:rPr>
        <w:lastRenderedPageBreak/>
        <w:t>Basisjaar en rapportage</w:t>
      </w:r>
      <w:bookmarkEnd w:id="9"/>
      <w:bookmarkEnd w:id="10"/>
      <w:bookmarkEnd w:id="11"/>
      <w:bookmarkEnd w:id="12"/>
    </w:p>
    <w:p w14:paraId="4441211D" w14:textId="1444F7FC" w:rsidR="009F10A1" w:rsidRPr="001C6D23" w:rsidRDefault="009F10A1" w:rsidP="009F10A1">
      <w:pPr>
        <w:rPr>
          <w:rFonts w:ascii="Helvetica" w:hAnsi="Helvetica"/>
          <w:sz w:val="22"/>
          <w:szCs w:val="22"/>
        </w:rPr>
      </w:pPr>
      <w:r w:rsidRPr="001C6D23">
        <w:rPr>
          <w:rFonts w:ascii="Helvetica" w:hAnsi="Helvetica"/>
          <w:sz w:val="22"/>
          <w:szCs w:val="22"/>
        </w:rPr>
        <w:t>Dit rapport betreft het jaar 20</w:t>
      </w:r>
      <w:r w:rsidR="00A51EC5">
        <w:rPr>
          <w:rFonts w:ascii="Helvetica" w:hAnsi="Helvetica"/>
          <w:sz w:val="22"/>
          <w:szCs w:val="22"/>
        </w:rPr>
        <w:t>2</w:t>
      </w:r>
      <w:r w:rsidR="00A767EC">
        <w:rPr>
          <w:rFonts w:ascii="Helvetica" w:hAnsi="Helvetica"/>
          <w:sz w:val="22"/>
          <w:szCs w:val="22"/>
        </w:rPr>
        <w:t>3</w:t>
      </w:r>
      <w:r w:rsidR="002537AE">
        <w:rPr>
          <w:rFonts w:ascii="Helvetica" w:hAnsi="Helvetica"/>
          <w:sz w:val="22"/>
          <w:szCs w:val="22"/>
        </w:rPr>
        <w:t>. Het jaar 20</w:t>
      </w:r>
      <w:r w:rsidR="00EE1B12">
        <w:rPr>
          <w:rFonts w:ascii="Helvetica" w:hAnsi="Helvetica"/>
          <w:sz w:val="22"/>
          <w:szCs w:val="22"/>
        </w:rPr>
        <w:t>20</w:t>
      </w:r>
      <w:r w:rsidR="002537AE">
        <w:rPr>
          <w:rFonts w:ascii="Helvetica" w:hAnsi="Helvetica"/>
          <w:sz w:val="22"/>
          <w:szCs w:val="22"/>
        </w:rPr>
        <w:t xml:space="preserve"> </w:t>
      </w:r>
      <w:r w:rsidRPr="001C6D23">
        <w:rPr>
          <w:rFonts w:ascii="Helvetica" w:hAnsi="Helvetica"/>
          <w:sz w:val="22"/>
          <w:szCs w:val="22"/>
        </w:rPr>
        <w:t>dient als referentiejaar voor de CO</w:t>
      </w:r>
      <w:r w:rsidRPr="001C6D23">
        <w:rPr>
          <w:rFonts w:ascii="Helvetica" w:hAnsi="Helvetica"/>
          <w:sz w:val="22"/>
          <w:szCs w:val="22"/>
          <w:vertAlign w:val="subscript"/>
        </w:rPr>
        <w:t>2</w:t>
      </w:r>
      <w:r w:rsidRPr="001C6D23">
        <w:rPr>
          <w:rFonts w:ascii="Helvetica" w:hAnsi="Helvetica"/>
          <w:sz w:val="22"/>
          <w:szCs w:val="22"/>
        </w:rPr>
        <w:t xml:space="preserve">-reductiedoelstellingen. Tijdens het schrijven van dit rapport zijn </w:t>
      </w:r>
      <w:r w:rsidR="0095013A">
        <w:rPr>
          <w:rFonts w:ascii="Helvetica" w:hAnsi="Helvetica"/>
          <w:sz w:val="22"/>
          <w:szCs w:val="22"/>
        </w:rPr>
        <w:t xml:space="preserve">de </w:t>
      </w:r>
      <w:r w:rsidR="0051486F" w:rsidRPr="001C6D23">
        <w:rPr>
          <w:rFonts w:ascii="Helvetica" w:hAnsi="Helvetica"/>
          <w:sz w:val="22"/>
          <w:szCs w:val="22"/>
        </w:rPr>
        <w:t>ci</w:t>
      </w:r>
      <w:r w:rsidRPr="001C6D23">
        <w:rPr>
          <w:rFonts w:ascii="Helvetica" w:hAnsi="Helvetica"/>
          <w:sz w:val="22"/>
          <w:szCs w:val="22"/>
        </w:rPr>
        <w:t xml:space="preserve">jfers van </w:t>
      </w:r>
      <w:r w:rsidR="0051486F" w:rsidRPr="001C6D23">
        <w:rPr>
          <w:rFonts w:ascii="Helvetica" w:hAnsi="Helvetica"/>
          <w:sz w:val="22"/>
          <w:szCs w:val="22"/>
        </w:rPr>
        <w:t>20</w:t>
      </w:r>
      <w:r w:rsidR="00A51EC5">
        <w:rPr>
          <w:rFonts w:ascii="Helvetica" w:hAnsi="Helvetica"/>
          <w:sz w:val="22"/>
          <w:szCs w:val="22"/>
        </w:rPr>
        <w:t>2</w:t>
      </w:r>
      <w:r w:rsidR="00A767EC">
        <w:rPr>
          <w:rFonts w:ascii="Helvetica" w:hAnsi="Helvetica"/>
          <w:sz w:val="22"/>
          <w:szCs w:val="22"/>
        </w:rPr>
        <w:t xml:space="preserve">3 </w:t>
      </w:r>
      <w:r w:rsidRPr="001C6D23">
        <w:rPr>
          <w:rFonts w:ascii="Helvetica" w:hAnsi="Helvetica"/>
          <w:sz w:val="22"/>
          <w:szCs w:val="22"/>
        </w:rPr>
        <w:t xml:space="preserve">beschikbaar. </w:t>
      </w:r>
      <w:r w:rsidR="0051486F" w:rsidRPr="001C6D23">
        <w:rPr>
          <w:rFonts w:ascii="Helvetica" w:hAnsi="Helvetica"/>
          <w:sz w:val="22"/>
          <w:szCs w:val="22"/>
        </w:rPr>
        <w:t xml:space="preserve">Er kan </w:t>
      </w:r>
      <w:r w:rsidR="0095013A">
        <w:rPr>
          <w:rFonts w:ascii="Helvetica" w:hAnsi="Helvetica"/>
          <w:sz w:val="22"/>
          <w:szCs w:val="22"/>
        </w:rPr>
        <w:t xml:space="preserve">dus een </w:t>
      </w:r>
      <w:r w:rsidRPr="001C6D23">
        <w:rPr>
          <w:rFonts w:ascii="Helvetica" w:hAnsi="Helvetica"/>
          <w:sz w:val="22"/>
          <w:szCs w:val="22"/>
        </w:rPr>
        <w:t>vergelijking worden gemaakt met het jaar 20</w:t>
      </w:r>
      <w:r w:rsidR="00EE1B12">
        <w:rPr>
          <w:rFonts w:ascii="Helvetica" w:hAnsi="Helvetica"/>
          <w:sz w:val="22"/>
          <w:szCs w:val="22"/>
        </w:rPr>
        <w:t>20</w:t>
      </w:r>
      <w:r w:rsidRPr="001C6D23">
        <w:rPr>
          <w:rFonts w:ascii="Helvetica" w:hAnsi="Helvetica"/>
          <w:sz w:val="22"/>
          <w:szCs w:val="22"/>
        </w:rPr>
        <w:t xml:space="preserve">. </w:t>
      </w:r>
    </w:p>
    <w:p w14:paraId="11A036DF" w14:textId="77777777" w:rsidR="00FA3B66" w:rsidRPr="00310475" w:rsidRDefault="00FA3B66" w:rsidP="009F10A1">
      <w:pPr>
        <w:rPr>
          <w:rFonts w:ascii="Helvetica" w:hAnsi="Helvetica"/>
        </w:rPr>
      </w:pPr>
    </w:p>
    <w:p w14:paraId="4A65BA9D" w14:textId="77777777" w:rsidR="009F10A1" w:rsidRPr="001C6D23" w:rsidRDefault="009F10A1" w:rsidP="001C6D23">
      <w:pPr>
        <w:pStyle w:val="Kop1"/>
        <w:spacing w:before="0" w:after="0" w:line="240" w:lineRule="auto"/>
        <w:rPr>
          <w:rFonts w:ascii="Helvetica" w:hAnsi="Helvetica"/>
          <w:b/>
          <w:sz w:val="24"/>
          <w:szCs w:val="24"/>
        </w:rPr>
      </w:pPr>
      <w:bookmarkStart w:id="13" w:name="_Toc280352952"/>
      <w:bookmarkStart w:id="14" w:name="_Toc298250967"/>
      <w:bookmarkStart w:id="15" w:name="_Toc327715419"/>
      <w:bookmarkStart w:id="16" w:name="_Toc327715959"/>
      <w:r w:rsidRPr="001C6D23">
        <w:rPr>
          <w:rFonts w:ascii="Helvetica" w:hAnsi="Helvetica"/>
          <w:b/>
          <w:sz w:val="24"/>
          <w:szCs w:val="24"/>
        </w:rPr>
        <w:t>Afbakening</w:t>
      </w:r>
      <w:bookmarkEnd w:id="13"/>
      <w:bookmarkEnd w:id="14"/>
      <w:r w:rsidRPr="001C6D23">
        <w:rPr>
          <w:rFonts w:ascii="Helvetica" w:hAnsi="Helvetica"/>
          <w:b/>
          <w:sz w:val="24"/>
          <w:szCs w:val="24"/>
        </w:rPr>
        <w:t xml:space="preserve"> </w:t>
      </w:r>
      <w:bookmarkEnd w:id="15"/>
      <w:bookmarkEnd w:id="16"/>
    </w:p>
    <w:p w14:paraId="3BB4FC51" w14:textId="77777777" w:rsidR="009F10A1" w:rsidRPr="001C6D23" w:rsidRDefault="009F10A1" w:rsidP="009F10A1">
      <w:pPr>
        <w:rPr>
          <w:rFonts w:ascii="Helvetica" w:hAnsi="Helvetica" w:cs="Arial"/>
          <w:sz w:val="22"/>
          <w:szCs w:val="22"/>
        </w:rPr>
      </w:pPr>
      <w:r w:rsidRPr="001C6D23">
        <w:rPr>
          <w:rFonts w:ascii="Helvetica" w:hAnsi="Helvetica" w:cs="Arial"/>
          <w:sz w:val="22"/>
          <w:szCs w:val="22"/>
        </w:rPr>
        <w:t>In hoofdstuk 3 van het GHG protocol worden twee methodes beschreven waarop de “</w:t>
      </w:r>
      <w:proofErr w:type="spellStart"/>
      <w:r w:rsidRPr="001C6D23">
        <w:rPr>
          <w:rFonts w:ascii="Helvetica" w:hAnsi="Helvetica" w:cs="Arial"/>
          <w:sz w:val="22"/>
          <w:szCs w:val="22"/>
        </w:rPr>
        <w:t>organizational</w:t>
      </w:r>
      <w:proofErr w:type="spellEnd"/>
      <w:r w:rsidRPr="001C6D23">
        <w:rPr>
          <w:rFonts w:ascii="Helvetica" w:hAnsi="Helvetica" w:cs="Arial"/>
          <w:sz w:val="22"/>
          <w:szCs w:val="22"/>
        </w:rPr>
        <w:t xml:space="preserve"> </w:t>
      </w:r>
      <w:proofErr w:type="spellStart"/>
      <w:r w:rsidRPr="001C6D23">
        <w:rPr>
          <w:rFonts w:ascii="Helvetica" w:hAnsi="Helvetica" w:cs="Arial"/>
          <w:sz w:val="22"/>
          <w:szCs w:val="22"/>
        </w:rPr>
        <w:t>boundary</w:t>
      </w:r>
      <w:proofErr w:type="spellEnd"/>
      <w:r w:rsidRPr="001C6D23">
        <w:rPr>
          <w:rFonts w:ascii="Helvetica" w:hAnsi="Helvetica" w:cs="Arial"/>
          <w:sz w:val="22"/>
          <w:szCs w:val="22"/>
        </w:rPr>
        <w:t>” kan worden bepaald, de aandelen methode (</w:t>
      </w:r>
      <w:proofErr w:type="spellStart"/>
      <w:r w:rsidRPr="001C6D23">
        <w:rPr>
          <w:rFonts w:ascii="Helvetica" w:hAnsi="Helvetica" w:cs="Arial"/>
          <w:sz w:val="22"/>
          <w:szCs w:val="22"/>
        </w:rPr>
        <w:t>equity</w:t>
      </w:r>
      <w:proofErr w:type="spellEnd"/>
      <w:r w:rsidRPr="001C6D23">
        <w:rPr>
          <w:rFonts w:ascii="Helvetica" w:hAnsi="Helvetica" w:cs="Arial"/>
          <w:sz w:val="22"/>
          <w:szCs w:val="22"/>
        </w:rPr>
        <w:t xml:space="preserve"> share approach) en de aansturingmethode (control approach). Onderstaand wordt de juridische entiteit genoemd die als </w:t>
      </w:r>
      <w:proofErr w:type="spellStart"/>
      <w:r w:rsidRPr="001C6D23">
        <w:rPr>
          <w:rFonts w:ascii="Helvetica" w:hAnsi="Helvetica" w:cs="Arial"/>
          <w:sz w:val="22"/>
          <w:szCs w:val="22"/>
        </w:rPr>
        <w:t>boundary</w:t>
      </w:r>
      <w:proofErr w:type="spellEnd"/>
      <w:r w:rsidRPr="001C6D23">
        <w:rPr>
          <w:rFonts w:ascii="Helvetica" w:hAnsi="Helvetica" w:cs="Arial"/>
          <w:sz w:val="22"/>
          <w:szCs w:val="22"/>
        </w:rPr>
        <w:t xml:space="preserve"> geldt voor het berekenen van de CO</w:t>
      </w:r>
      <w:r w:rsidRPr="001C6D23">
        <w:rPr>
          <w:rFonts w:ascii="Helvetica" w:hAnsi="Helvetica" w:cs="Arial"/>
          <w:sz w:val="22"/>
          <w:szCs w:val="22"/>
          <w:vertAlign w:val="subscript"/>
        </w:rPr>
        <w:t>2</w:t>
      </w:r>
      <w:r w:rsidRPr="001C6D23">
        <w:rPr>
          <w:rFonts w:ascii="Helvetica" w:hAnsi="Helvetica" w:cs="Arial"/>
          <w:sz w:val="22"/>
          <w:szCs w:val="22"/>
        </w:rPr>
        <w:t>-footprint van</w:t>
      </w:r>
      <w:r w:rsidR="007E1794">
        <w:rPr>
          <w:rFonts w:ascii="Helvetica" w:hAnsi="Helvetica" w:cs="Arial"/>
          <w:sz w:val="22"/>
          <w:szCs w:val="22"/>
        </w:rPr>
        <w:t xml:space="preserve"> </w:t>
      </w:r>
      <w:proofErr w:type="spellStart"/>
      <w:r w:rsidR="007E1794">
        <w:rPr>
          <w:rFonts w:ascii="Helvetica" w:hAnsi="Helvetica" w:cs="Arial"/>
          <w:sz w:val="22"/>
          <w:szCs w:val="22"/>
        </w:rPr>
        <w:t>Van</w:t>
      </w:r>
      <w:proofErr w:type="spellEnd"/>
      <w:r w:rsidR="007E1794">
        <w:rPr>
          <w:rFonts w:ascii="Helvetica" w:hAnsi="Helvetica" w:cs="Arial"/>
          <w:sz w:val="22"/>
          <w:szCs w:val="22"/>
        </w:rPr>
        <w:t xml:space="preserve"> Diepen</w:t>
      </w:r>
      <w:r w:rsidRPr="001C6D23">
        <w:rPr>
          <w:rFonts w:ascii="Helvetica" w:hAnsi="Helvetica" w:cs="Arial"/>
          <w:sz w:val="22"/>
          <w:szCs w:val="22"/>
        </w:rPr>
        <w:t xml:space="preserve">, de </w:t>
      </w:r>
      <w:proofErr w:type="spellStart"/>
      <w:r w:rsidRPr="001C6D23">
        <w:rPr>
          <w:rFonts w:ascii="Helvetica" w:hAnsi="Helvetica" w:cs="Arial"/>
          <w:sz w:val="22"/>
          <w:szCs w:val="22"/>
        </w:rPr>
        <w:t>bijbehorden</w:t>
      </w:r>
      <w:proofErr w:type="spellEnd"/>
      <w:r w:rsidRPr="001C6D23">
        <w:rPr>
          <w:rFonts w:ascii="Helvetica" w:hAnsi="Helvetica" w:cs="Arial"/>
          <w:sz w:val="22"/>
          <w:szCs w:val="22"/>
        </w:rPr>
        <w:t xml:space="preserve"> CO</w:t>
      </w:r>
      <w:r w:rsidRPr="001C6D23">
        <w:rPr>
          <w:rFonts w:ascii="Helvetica" w:hAnsi="Helvetica" w:cs="Arial"/>
          <w:sz w:val="22"/>
          <w:szCs w:val="22"/>
          <w:vertAlign w:val="subscript"/>
        </w:rPr>
        <w:t>2</w:t>
      </w:r>
      <w:r w:rsidRPr="001C6D23">
        <w:rPr>
          <w:rFonts w:ascii="Helvetica" w:hAnsi="Helvetica" w:cs="Arial"/>
          <w:sz w:val="22"/>
          <w:szCs w:val="22"/>
        </w:rPr>
        <w:t>-reductiedoelstellingen en ook als naam zal worden gebruikt op het CO</w:t>
      </w:r>
      <w:r w:rsidRPr="001C6D23">
        <w:rPr>
          <w:rFonts w:ascii="Helvetica" w:hAnsi="Helvetica" w:cs="Arial"/>
          <w:sz w:val="22"/>
          <w:szCs w:val="22"/>
          <w:vertAlign w:val="subscript"/>
        </w:rPr>
        <w:t>2</w:t>
      </w:r>
      <w:r w:rsidRPr="001C6D23">
        <w:rPr>
          <w:rFonts w:ascii="Helvetica" w:hAnsi="Helvetica" w:cs="Arial"/>
          <w:sz w:val="22"/>
          <w:szCs w:val="22"/>
        </w:rPr>
        <w:t>-bewust certificaat.</w:t>
      </w:r>
    </w:p>
    <w:p w14:paraId="29407CC1" w14:textId="77777777" w:rsidR="009F10A1" w:rsidRPr="00310475" w:rsidRDefault="009F10A1" w:rsidP="009F10A1">
      <w:pPr>
        <w:rPr>
          <w:rFonts w:ascii="Helvetica" w:hAnsi="Helvetic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62"/>
      </w:tblGrid>
      <w:tr w:rsidR="009F10A1" w:rsidRPr="00310475" w14:paraId="1CD23C98" w14:textId="77777777" w:rsidTr="00C01436">
        <w:trPr>
          <w:trHeight w:val="343"/>
        </w:trPr>
        <w:tc>
          <w:tcPr>
            <w:tcW w:w="9145" w:type="dxa"/>
            <w:shd w:val="clear" w:color="auto" w:fill="D6E3BC" w:themeFill="accent3" w:themeFillTint="66"/>
            <w:vAlign w:val="center"/>
          </w:tcPr>
          <w:p w14:paraId="29FEBCF9" w14:textId="2738A6BD" w:rsidR="009F10A1" w:rsidRPr="00310475" w:rsidRDefault="002B2C8A" w:rsidP="00256F9D">
            <w:pPr>
              <w:spacing w:before="120"/>
              <w:jc w:val="center"/>
              <w:rPr>
                <w:rFonts w:ascii="Helvetica" w:hAnsi="Helvetica" w:cs="Arial"/>
                <w:b/>
                <w:i/>
                <w:sz w:val="24"/>
                <w:szCs w:val="24"/>
              </w:rPr>
            </w:pPr>
            <w:r>
              <w:rPr>
                <w:rFonts w:ascii="Helvetica" w:hAnsi="Helvetica" w:cs="Arial"/>
                <w:b/>
                <w:i/>
                <w:sz w:val="24"/>
                <w:szCs w:val="24"/>
              </w:rPr>
              <w:t>Loon</w:t>
            </w:r>
            <w:r w:rsidR="00AF05E7">
              <w:rPr>
                <w:rFonts w:ascii="Helvetica" w:hAnsi="Helvetica" w:cs="Arial"/>
                <w:b/>
                <w:i/>
                <w:sz w:val="24"/>
                <w:szCs w:val="24"/>
              </w:rPr>
              <w:t>- en Kranenverhuur</w:t>
            </w:r>
            <w:r>
              <w:rPr>
                <w:rFonts w:ascii="Helvetica" w:hAnsi="Helvetica" w:cs="Arial"/>
                <w:b/>
                <w:i/>
                <w:sz w:val="24"/>
                <w:szCs w:val="24"/>
              </w:rPr>
              <w:t>bedrijf Van Diepen BV</w:t>
            </w:r>
          </w:p>
          <w:p w14:paraId="2CA47386" w14:textId="77777777" w:rsidR="00256F9D" w:rsidRPr="00310475" w:rsidRDefault="00A51EC5" w:rsidP="00B95CFA">
            <w:pPr>
              <w:jc w:val="center"/>
              <w:rPr>
                <w:rFonts w:ascii="Helvetica" w:hAnsi="Helvetica" w:cs="Arial"/>
                <w:b/>
                <w:i/>
              </w:rPr>
            </w:pPr>
            <w:r>
              <w:rPr>
                <w:rFonts w:ascii="Helvetica" w:hAnsi="Helvetica" w:cs="Arial"/>
                <w:b/>
                <w:i/>
              </w:rPr>
              <w:t>Met inbegrip van vestiging</w:t>
            </w:r>
          </w:p>
          <w:p w14:paraId="5C83F8BB" w14:textId="77777777" w:rsidR="00310475" w:rsidRDefault="002B2C8A" w:rsidP="00B60A5B">
            <w:pPr>
              <w:jc w:val="center"/>
              <w:rPr>
                <w:rFonts w:ascii="Helvetica" w:hAnsi="Helvetica" w:cs="Arial"/>
                <w:i/>
              </w:rPr>
            </w:pPr>
            <w:r>
              <w:rPr>
                <w:rFonts w:ascii="Helvetica" w:hAnsi="Helvetica" w:cs="Arial"/>
                <w:i/>
              </w:rPr>
              <w:t xml:space="preserve">Lutkedijk 7, 1715 KN Spanbroek </w:t>
            </w:r>
          </w:p>
          <w:p w14:paraId="08072D09" w14:textId="77777777" w:rsidR="00342B4D" w:rsidRDefault="00342B4D" w:rsidP="00B60A5B">
            <w:pPr>
              <w:jc w:val="center"/>
              <w:rPr>
                <w:rFonts w:ascii="Helvetica" w:hAnsi="Helvetica" w:cs="Arial"/>
                <w:b/>
                <w:i/>
              </w:rPr>
            </w:pPr>
            <w:r>
              <w:rPr>
                <w:rFonts w:ascii="Helvetica" w:hAnsi="Helvetica" w:cs="Arial"/>
                <w:b/>
                <w:i/>
              </w:rPr>
              <w:t xml:space="preserve">Met inbegrip van </w:t>
            </w:r>
          </w:p>
          <w:p w14:paraId="0D9A83F5" w14:textId="77777777" w:rsidR="00342B4D" w:rsidRDefault="00342B4D" w:rsidP="00B60A5B">
            <w:pPr>
              <w:jc w:val="center"/>
              <w:rPr>
                <w:rFonts w:ascii="Helvetica" w:hAnsi="Helvetica" w:cs="Arial"/>
                <w:b/>
                <w:i/>
              </w:rPr>
            </w:pPr>
            <w:r>
              <w:rPr>
                <w:rFonts w:ascii="Helvetica" w:hAnsi="Helvetica" w:cs="Arial"/>
                <w:b/>
                <w:i/>
              </w:rPr>
              <w:t>Van Diepen O.G. B.V.</w:t>
            </w:r>
          </w:p>
          <w:p w14:paraId="3BF0B811" w14:textId="12CCC57D" w:rsidR="00342B4D" w:rsidRPr="00310475" w:rsidRDefault="00342B4D" w:rsidP="00B60A5B">
            <w:pPr>
              <w:jc w:val="center"/>
              <w:rPr>
                <w:rFonts w:ascii="Helvetica" w:hAnsi="Helvetica" w:cs="Arial"/>
                <w:b/>
                <w:i/>
              </w:rPr>
            </w:pPr>
            <w:r>
              <w:rPr>
                <w:rFonts w:ascii="Helvetica" w:hAnsi="Helvetica" w:cs="Arial"/>
                <w:b/>
                <w:i/>
              </w:rPr>
              <w:t xml:space="preserve">33,3% </w:t>
            </w:r>
            <w:proofErr w:type="spellStart"/>
            <w:r>
              <w:rPr>
                <w:rFonts w:ascii="Helvetica" w:hAnsi="Helvetica" w:cs="Arial"/>
                <w:b/>
                <w:i/>
              </w:rPr>
              <w:t>Bokashi</w:t>
            </w:r>
            <w:proofErr w:type="spellEnd"/>
            <w:r>
              <w:rPr>
                <w:rFonts w:ascii="Helvetica" w:hAnsi="Helvetica" w:cs="Arial"/>
                <w:b/>
                <w:i/>
              </w:rPr>
              <w:t xml:space="preserve"> B.V.</w:t>
            </w:r>
          </w:p>
        </w:tc>
      </w:tr>
    </w:tbl>
    <w:p w14:paraId="486B5395" w14:textId="77777777" w:rsidR="009F10A1" w:rsidRPr="00310475" w:rsidRDefault="009F10A1" w:rsidP="009F10A1">
      <w:pPr>
        <w:rPr>
          <w:rFonts w:ascii="Helvetica" w:hAnsi="Helvetica" w:cs="Arial"/>
        </w:rPr>
      </w:pPr>
    </w:p>
    <w:p w14:paraId="58725617" w14:textId="77777777" w:rsidR="009F10A1" w:rsidRDefault="009F10A1" w:rsidP="002B2C8A">
      <w:pPr>
        <w:spacing w:before="120"/>
        <w:rPr>
          <w:rFonts w:ascii="Helvetica" w:hAnsi="Helvetica" w:cs="Arial"/>
          <w:sz w:val="22"/>
          <w:szCs w:val="22"/>
        </w:rPr>
      </w:pPr>
      <w:r w:rsidRPr="001C6D23">
        <w:rPr>
          <w:rFonts w:ascii="Helvetica" w:hAnsi="Helvetica" w:cs="Arial"/>
          <w:sz w:val="22"/>
          <w:szCs w:val="22"/>
        </w:rPr>
        <w:t xml:space="preserve">Dat wil zeggen </w:t>
      </w:r>
      <w:r w:rsidR="003C1CB9">
        <w:rPr>
          <w:rFonts w:ascii="Helvetica" w:hAnsi="Helvetica" w:cs="Arial"/>
          <w:sz w:val="22"/>
          <w:szCs w:val="22"/>
        </w:rPr>
        <w:t xml:space="preserve">dat </w:t>
      </w:r>
      <w:r w:rsidRPr="001C6D23">
        <w:rPr>
          <w:rFonts w:ascii="Helvetica" w:hAnsi="Helvetica" w:cs="Arial"/>
          <w:sz w:val="22"/>
          <w:szCs w:val="22"/>
        </w:rPr>
        <w:t xml:space="preserve">alle werkzaamheden </w:t>
      </w:r>
      <w:r w:rsidR="003C1CB9">
        <w:rPr>
          <w:rFonts w:ascii="Helvetica" w:hAnsi="Helvetica" w:cs="Arial"/>
          <w:sz w:val="22"/>
          <w:szCs w:val="22"/>
        </w:rPr>
        <w:t xml:space="preserve">die </w:t>
      </w:r>
      <w:r w:rsidR="002B2C8A">
        <w:rPr>
          <w:rFonts w:ascii="Helvetica" w:hAnsi="Helvetica" w:cs="Arial"/>
          <w:sz w:val="22"/>
          <w:szCs w:val="22"/>
        </w:rPr>
        <w:t xml:space="preserve">Loonbedrijf Van Diepen BV </w:t>
      </w:r>
      <w:r w:rsidRPr="001C6D23">
        <w:rPr>
          <w:rFonts w:ascii="Helvetica" w:hAnsi="Helvetica" w:cs="Arial"/>
          <w:sz w:val="22"/>
          <w:szCs w:val="22"/>
        </w:rPr>
        <w:t>verricht, zoals ook ingeschreven bij de Kamer van Koophandel onder d</w:t>
      </w:r>
      <w:r w:rsidR="00C846DA">
        <w:rPr>
          <w:rFonts w:ascii="Helvetica" w:hAnsi="Helvetica" w:cs="Arial"/>
          <w:sz w:val="22"/>
          <w:szCs w:val="22"/>
        </w:rPr>
        <w:t>e</w:t>
      </w:r>
      <w:r w:rsidR="002B2C8A">
        <w:rPr>
          <w:rFonts w:ascii="Helvetica" w:hAnsi="Helvetica" w:cs="Arial"/>
          <w:sz w:val="22"/>
          <w:szCs w:val="22"/>
        </w:rPr>
        <w:t xml:space="preserve"> naam </w:t>
      </w:r>
      <w:r w:rsidR="002B2C8A" w:rsidRPr="002B2C8A">
        <w:rPr>
          <w:rFonts w:ascii="Helvetica" w:hAnsi="Helvetica" w:cs="Arial"/>
          <w:sz w:val="22"/>
          <w:szCs w:val="22"/>
        </w:rPr>
        <w:t>Loon</w:t>
      </w:r>
      <w:r w:rsidR="002F62D3">
        <w:rPr>
          <w:rFonts w:ascii="Helvetica" w:hAnsi="Helvetica" w:cs="Arial"/>
          <w:sz w:val="22"/>
          <w:szCs w:val="22"/>
        </w:rPr>
        <w:t>- en kranenverhuur</w:t>
      </w:r>
      <w:r w:rsidR="002B2C8A" w:rsidRPr="002B2C8A">
        <w:rPr>
          <w:rFonts w:ascii="Helvetica" w:hAnsi="Helvetica" w:cs="Arial"/>
          <w:sz w:val="22"/>
          <w:szCs w:val="22"/>
        </w:rPr>
        <w:t xml:space="preserve">bedrijf </w:t>
      </w:r>
      <w:r w:rsidR="002F62D3">
        <w:rPr>
          <w:rFonts w:ascii="Helvetica" w:hAnsi="Helvetica" w:cs="Arial"/>
          <w:sz w:val="22"/>
          <w:szCs w:val="22"/>
        </w:rPr>
        <w:t>J.S. v</w:t>
      </w:r>
      <w:r w:rsidR="002B2C8A" w:rsidRPr="002B2C8A">
        <w:rPr>
          <w:rFonts w:ascii="Helvetica" w:hAnsi="Helvetica" w:cs="Arial"/>
          <w:sz w:val="22"/>
          <w:szCs w:val="22"/>
        </w:rPr>
        <w:t>an Diepen BV</w:t>
      </w:r>
      <w:r w:rsidR="00C01436" w:rsidRPr="001C6D23">
        <w:rPr>
          <w:rFonts w:ascii="Helvetica" w:hAnsi="Helvetica" w:cs="Arial"/>
          <w:sz w:val="22"/>
          <w:szCs w:val="22"/>
        </w:rPr>
        <w:t xml:space="preserve">. </w:t>
      </w:r>
      <w:r w:rsidRPr="001C6D23">
        <w:rPr>
          <w:rFonts w:ascii="Helvetica" w:hAnsi="Helvetica" w:cs="Arial"/>
          <w:sz w:val="22"/>
          <w:szCs w:val="22"/>
        </w:rPr>
        <w:t>De daarbij behorende CO</w:t>
      </w:r>
      <w:r w:rsidRPr="001C6D23">
        <w:rPr>
          <w:rFonts w:ascii="Helvetica" w:hAnsi="Helvetica" w:cs="Arial"/>
          <w:sz w:val="22"/>
          <w:szCs w:val="22"/>
          <w:vertAlign w:val="subscript"/>
        </w:rPr>
        <w:t>2</w:t>
      </w:r>
      <w:r w:rsidRPr="001C6D23">
        <w:rPr>
          <w:rFonts w:ascii="Helvetica" w:hAnsi="Helvetica" w:cs="Arial"/>
          <w:sz w:val="22"/>
          <w:szCs w:val="22"/>
        </w:rPr>
        <w:t>-uitstoot zal als input worden gebruikt voor het berekenen van de CO</w:t>
      </w:r>
      <w:r w:rsidRPr="001C6D23">
        <w:rPr>
          <w:rFonts w:ascii="Helvetica" w:hAnsi="Helvetica" w:cs="Arial"/>
          <w:sz w:val="22"/>
          <w:szCs w:val="22"/>
          <w:vertAlign w:val="subscript"/>
        </w:rPr>
        <w:t>2</w:t>
      </w:r>
      <w:r w:rsidRPr="001C6D23">
        <w:rPr>
          <w:rFonts w:ascii="Helvetica" w:hAnsi="Helvetica" w:cs="Arial"/>
          <w:sz w:val="22"/>
          <w:szCs w:val="22"/>
        </w:rPr>
        <w:t xml:space="preserve">-footprint. Onderstaand volgt verdere toelichting op deze </w:t>
      </w:r>
      <w:proofErr w:type="spellStart"/>
      <w:r w:rsidRPr="001C6D23">
        <w:rPr>
          <w:rFonts w:ascii="Helvetica" w:hAnsi="Helvetica" w:cs="Arial"/>
          <w:sz w:val="22"/>
          <w:szCs w:val="22"/>
        </w:rPr>
        <w:t>boundary</w:t>
      </w:r>
      <w:proofErr w:type="spellEnd"/>
      <w:r w:rsidRPr="001C6D23">
        <w:rPr>
          <w:rFonts w:ascii="Helvetica" w:hAnsi="Helvetica" w:cs="Arial"/>
          <w:sz w:val="22"/>
          <w:szCs w:val="22"/>
        </w:rPr>
        <w:t xml:space="preserve"> volgens de aandelen methode (</w:t>
      </w:r>
      <w:proofErr w:type="spellStart"/>
      <w:r w:rsidRPr="001C6D23">
        <w:rPr>
          <w:rFonts w:ascii="Helvetica" w:hAnsi="Helvetica" w:cs="Arial"/>
          <w:sz w:val="22"/>
          <w:szCs w:val="22"/>
        </w:rPr>
        <w:t>equity</w:t>
      </w:r>
      <w:proofErr w:type="spellEnd"/>
      <w:r w:rsidRPr="001C6D23">
        <w:rPr>
          <w:rFonts w:ascii="Helvetica" w:hAnsi="Helvetica" w:cs="Arial"/>
          <w:sz w:val="22"/>
          <w:szCs w:val="22"/>
        </w:rPr>
        <w:t xml:space="preserve"> share approach).</w:t>
      </w:r>
    </w:p>
    <w:p w14:paraId="3CC6EA2D" w14:textId="60B7E73E" w:rsidR="00865E72" w:rsidRDefault="00865E72" w:rsidP="002B2C8A">
      <w:pPr>
        <w:spacing w:before="120"/>
        <w:rPr>
          <w:rFonts w:ascii="Helvetica" w:hAnsi="Helvetica" w:cs="Arial"/>
          <w:sz w:val="22"/>
          <w:szCs w:val="22"/>
        </w:rPr>
      </w:pPr>
      <w:r>
        <w:rPr>
          <w:rFonts w:ascii="Helvetica" w:hAnsi="Helvetica" w:cs="Arial"/>
          <w:sz w:val="22"/>
          <w:szCs w:val="22"/>
        </w:rPr>
        <w:t>Van Diepen OG BV is 100% eigenaar van Loon- en Kranenverhuur Van Diepen BV. Sinds 25-9-2020 is Van Diepen O</w:t>
      </w:r>
      <w:r w:rsidR="00342B4D">
        <w:rPr>
          <w:rFonts w:ascii="Helvetica" w:hAnsi="Helvetica" w:cs="Arial"/>
          <w:sz w:val="22"/>
          <w:szCs w:val="22"/>
        </w:rPr>
        <w:t>.</w:t>
      </w:r>
      <w:r>
        <w:rPr>
          <w:rFonts w:ascii="Helvetica" w:hAnsi="Helvetica" w:cs="Arial"/>
          <w:sz w:val="22"/>
          <w:szCs w:val="22"/>
        </w:rPr>
        <w:t>G</w:t>
      </w:r>
      <w:r w:rsidR="00342B4D">
        <w:rPr>
          <w:rFonts w:ascii="Helvetica" w:hAnsi="Helvetica" w:cs="Arial"/>
          <w:sz w:val="22"/>
          <w:szCs w:val="22"/>
        </w:rPr>
        <w:t>.</w:t>
      </w:r>
      <w:r>
        <w:rPr>
          <w:rFonts w:ascii="Helvetica" w:hAnsi="Helvetica" w:cs="Arial"/>
          <w:sz w:val="22"/>
          <w:szCs w:val="22"/>
        </w:rPr>
        <w:t xml:space="preserve"> BV ook voor 1/3 deel eigenaar van </w:t>
      </w:r>
      <w:proofErr w:type="spellStart"/>
      <w:r>
        <w:rPr>
          <w:rFonts w:ascii="Helvetica" w:hAnsi="Helvetica" w:cs="Arial"/>
          <w:sz w:val="22"/>
          <w:szCs w:val="22"/>
        </w:rPr>
        <w:t>Bokashi</w:t>
      </w:r>
      <w:proofErr w:type="spellEnd"/>
      <w:r>
        <w:rPr>
          <w:rFonts w:ascii="Helvetica" w:hAnsi="Helvetica" w:cs="Arial"/>
          <w:sz w:val="22"/>
          <w:szCs w:val="22"/>
        </w:rPr>
        <w:t xml:space="preserve"> B.V. </w:t>
      </w:r>
      <w:proofErr w:type="spellStart"/>
      <w:r>
        <w:rPr>
          <w:rFonts w:ascii="Helvetica" w:hAnsi="Helvetica" w:cs="Arial"/>
          <w:sz w:val="22"/>
          <w:szCs w:val="22"/>
        </w:rPr>
        <w:t>Bokashi</w:t>
      </w:r>
      <w:proofErr w:type="spellEnd"/>
      <w:r>
        <w:rPr>
          <w:rFonts w:ascii="Helvetica" w:hAnsi="Helvetica" w:cs="Arial"/>
          <w:sz w:val="22"/>
          <w:szCs w:val="22"/>
        </w:rPr>
        <w:t xml:space="preserve"> B.V. verwerkt groene reststromen en verhandelt circulaire bodemverbeteraar. Deze activiteiten worden door de drie afzonderlijke bedrijven uitgevoerd, ieder met eigen brandstof. De CO</w:t>
      </w:r>
      <w:r w:rsidRPr="00342B4D">
        <w:rPr>
          <w:rFonts w:ascii="Helvetica" w:hAnsi="Helvetica" w:cs="Arial"/>
          <w:sz w:val="22"/>
          <w:szCs w:val="22"/>
          <w:vertAlign w:val="subscript"/>
        </w:rPr>
        <w:t>2</w:t>
      </w:r>
      <w:r>
        <w:rPr>
          <w:rFonts w:ascii="Helvetica" w:hAnsi="Helvetica" w:cs="Arial"/>
          <w:sz w:val="22"/>
          <w:szCs w:val="22"/>
        </w:rPr>
        <w:t xml:space="preserve"> emissie is dus, voor wat betreft Van Diepen opgenomen in de footprint van Loonbedrijf Van Diepen BV.</w:t>
      </w:r>
    </w:p>
    <w:p w14:paraId="0B92B43A" w14:textId="6DD0340D" w:rsidR="00342B4D" w:rsidRDefault="00342B4D" w:rsidP="002B2C8A">
      <w:pPr>
        <w:spacing w:before="120"/>
        <w:rPr>
          <w:rFonts w:ascii="Helvetica" w:hAnsi="Helvetica" w:cs="Arial"/>
          <w:sz w:val="22"/>
          <w:szCs w:val="22"/>
        </w:rPr>
      </w:pPr>
      <w:r>
        <w:rPr>
          <w:rFonts w:ascii="Helvetica" w:hAnsi="Helvetica" w:cs="Arial"/>
          <w:sz w:val="22"/>
          <w:szCs w:val="22"/>
        </w:rPr>
        <w:t xml:space="preserve">De deelneming van 33,3% </w:t>
      </w:r>
      <w:proofErr w:type="spellStart"/>
      <w:r>
        <w:rPr>
          <w:rFonts w:ascii="Helvetica" w:hAnsi="Helvetica" w:cs="Arial"/>
          <w:sz w:val="22"/>
          <w:szCs w:val="22"/>
        </w:rPr>
        <w:t>Bokashi</w:t>
      </w:r>
      <w:proofErr w:type="spellEnd"/>
      <w:r>
        <w:rPr>
          <w:rFonts w:ascii="Helvetica" w:hAnsi="Helvetica" w:cs="Arial"/>
          <w:sz w:val="22"/>
          <w:szCs w:val="22"/>
        </w:rPr>
        <w:t xml:space="preserve"> B.V. is dus een zusteronderneming van Loon- en Kranenverhuur Van Diepen B.V., beiden vallend onder Van Diepen O.G. B.V.</w:t>
      </w:r>
    </w:p>
    <w:p w14:paraId="355D9DD4" w14:textId="77777777" w:rsidR="009F10A1" w:rsidRPr="001C6D23" w:rsidRDefault="009F10A1" w:rsidP="009F10A1">
      <w:pPr>
        <w:rPr>
          <w:rFonts w:ascii="Helvetica" w:hAnsi="Helvetica" w:cs="Arial"/>
          <w:sz w:val="22"/>
          <w:szCs w:val="22"/>
        </w:rPr>
      </w:pPr>
    </w:p>
    <w:p w14:paraId="637C8FF3" w14:textId="7740F1C3" w:rsidR="009F10A1" w:rsidRPr="001C6D23" w:rsidRDefault="002B2C8A" w:rsidP="009F10A1">
      <w:pPr>
        <w:numPr>
          <w:ilvl w:val="0"/>
          <w:numId w:val="39"/>
        </w:numPr>
        <w:rPr>
          <w:rFonts w:ascii="Helvetica" w:hAnsi="Helvetica" w:cs="Arial"/>
          <w:sz w:val="22"/>
          <w:szCs w:val="22"/>
        </w:rPr>
      </w:pPr>
      <w:r>
        <w:rPr>
          <w:rFonts w:ascii="Helvetica" w:hAnsi="Helvetica" w:cs="Arial"/>
          <w:sz w:val="22"/>
          <w:szCs w:val="22"/>
        </w:rPr>
        <w:t>Van Diepen BV</w:t>
      </w:r>
      <w:r w:rsidR="00C846DA">
        <w:rPr>
          <w:rFonts w:ascii="Helvetica" w:hAnsi="Helvetica" w:cs="Arial"/>
          <w:sz w:val="22"/>
          <w:szCs w:val="22"/>
        </w:rPr>
        <w:t xml:space="preserve"> he</w:t>
      </w:r>
      <w:r>
        <w:rPr>
          <w:rFonts w:ascii="Helvetica" w:hAnsi="Helvetica" w:cs="Arial"/>
          <w:sz w:val="22"/>
          <w:szCs w:val="22"/>
        </w:rPr>
        <w:t xml:space="preserve">eft </w:t>
      </w:r>
      <w:r w:rsidR="009F10A1" w:rsidRPr="001C6D23">
        <w:rPr>
          <w:rFonts w:ascii="Helvetica" w:hAnsi="Helvetica" w:cs="Arial"/>
          <w:sz w:val="22"/>
          <w:szCs w:val="22"/>
        </w:rPr>
        <w:t>alleen aandelen van het eigen bedrijf</w:t>
      </w:r>
      <w:r w:rsidR="00AF05E7">
        <w:rPr>
          <w:rFonts w:ascii="Helvetica" w:hAnsi="Helvetica" w:cs="Arial"/>
          <w:sz w:val="22"/>
          <w:szCs w:val="22"/>
        </w:rPr>
        <w:t xml:space="preserve"> en </w:t>
      </w:r>
      <w:proofErr w:type="spellStart"/>
      <w:r w:rsidR="00AF05E7">
        <w:rPr>
          <w:rFonts w:ascii="Helvetica" w:hAnsi="Helvetica" w:cs="Arial"/>
          <w:sz w:val="22"/>
          <w:szCs w:val="22"/>
        </w:rPr>
        <w:t>Bokashi</w:t>
      </w:r>
      <w:proofErr w:type="spellEnd"/>
      <w:r w:rsidR="00AF05E7">
        <w:rPr>
          <w:rFonts w:ascii="Helvetica" w:hAnsi="Helvetica" w:cs="Arial"/>
          <w:sz w:val="22"/>
          <w:szCs w:val="22"/>
        </w:rPr>
        <w:t xml:space="preserve"> B.V.</w:t>
      </w:r>
      <w:r w:rsidR="009F10A1" w:rsidRPr="001C6D23">
        <w:rPr>
          <w:rFonts w:ascii="Helvetica" w:hAnsi="Helvetica" w:cs="Arial"/>
          <w:sz w:val="22"/>
          <w:szCs w:val="22"/>
        </w:rPr>
        <w:t>;</w:t>
      </w:r>
    </w:p>
    <w:p w14:paraId="3CAB577C" w14:textId="77777777" w:rsidR="009F10A1" w:rsidRPr="001C6D23" w:rsidRDefault="002B2C8A" w:rsidP="009F10A1">
      <w:pPr>
        <w:numPr>
          <w:ilvl w:val="0"/>
          <w:numId w:val="39"/>
        </w:numPr>
        <w:rPr>
          <w:rFonts w:ascii="Helvetica" w:hAnsi="Helvetica" w:cs="Arial"/>
          <w:sz w:val="22"/>
          <w:szCs w:val="22"/>
        </w:rPr>
      </w:pPr>
      <w:r>
        <w:rPr>
          <w:rFonts w:ascii="Helvetica" w:hAnsi="Helvetica" w:cs="Arial"/>
          <w:sz w:val="22"/>
          <w:szCs w:val="22"/>
        </w:rPr>
        <w:t xml:space="preserve">Van Diepen BV </w:t>
      </w:r>
      <w:r w:rsidR="00566032">
        <w:rPr>
          <w:rFonts w:ascii="Helvetica" w:hAnsi="Helvetica" w:cs="Arial"/>
          <w:sz w:val="22"/>
          <w:szCs w:val="22"/>
        </w:rPr>
        <w:t xml:space="preserve">is </w:t>
      </w:r>
      <w:r w:rsidR="009F10A1" w:rsidRPr="001C6D23">
        <w:rPr>
          <w:rFonts w:ascii="Helvetica" w:hAnsi="Helvetica" w:cs="Arial"/>
          <w:sz w:val="22"/>
          <w:szCs w:val="22"/>
        </w:rPr>
        <w:t>geen onderdeel van een joint venture;</w:t>
      </w:r>
    </w:p>
    <w:p w14:paraId="144813B4" w14:textId="7404266F" w:rsidR="009F10A1" w:rsidRPr="001C6D23" w:rsidRDefault="002B2C8A" w:rsidP="009F10A1">
      <w:pPr>
        <w:numPr>
          <w:ilvl w:val="0"/>
          <w:numId w:val="39"/>
        </w:numPr>
        <w:rPr>
          <w:rFonts w:ascii="Helvetica" w:hAnsi="Helvetica" w:cs="Arial"/>
          <w:sz w:val="22"/>
          <w:szCs w:val="22"/>
        </w:rPr>
      </w:pPr>
      <w:r>
        <w:rPr>
          <w:rFonts w:ascii="Helvetica" w:hAnsi="Helvetica" w:cs="Arial"/>
          <w:sz w:val="22"/>
          <w:szCs w:val="22"/>
        </w:rPr>
        <w:t xml:space="preserve">Van Diepen BV </w:t>
      </w:r>
      <w:r w:rsidR="00566032">
        <w:rPr>
          <w:rFonts w:ascii="Helvetica" w:hAnsi="Helvetica" w:cs="Arial"/>
          <w:sz w:val="22"/>
          <w:szCs w:val="22"/>
        </w:rPr>
        <w:t>heeft</w:t>
      </w:r>
      <w:r w:rsidR="009F10A1" w:rsidRPr="001C6D23">
        <w:rPr>
          <w:rFonts w:ascii="Helvetica" w:hAnsi="Helvetica" w:cs="Arial"/>
          <w:sz w:val="22"/>
          <w:szCs w:val="22"/>
        </w:rPr>
        <w:t xml:space="preserve"> geen samenwerking met andere bedrijven waarvan zij ook aandelen bezit</w:t>
      </w:r>
      <w:r w:rsidR="00AF05E7">
        <w:rPr>
          <w:rFonts w:ascii="Helvetica" w:hAnsi="Helvetica" w:cs="Arial"/>
          <w:sz w:val="22"/>
          <w:szCs w:val="22"/>
        </w:rPr>
        <w:t xml:space="preserve">, anders dan </w:t>
      </w:r>
      <w:proofErr w:type="spellStart"/>
      <w:r w:rsidR="00AF05E7">
        <w:rPr>
          <w:rFonts w:ascii="Helvetica" w:hAnsi="Helvetica" w:cs="Arial"/>
          <w:sz w:val="22"/>
          <w:szCs w:val="22"/>
        </w:rPr>
        <w:t>Bokashi</w:t>
      </w:r>
      <w:proofErr w:type="spellEnd"/>
      <w:r w:rsidR="00AF05E7">
        <w:rPr>
          <w:rFonts w:ascii="Helvetica" w:hAnsi="Helvetica" w:cs="Arial"/>
          <w:sz w:val="22"/>
          <w:szCs w:val="22"/>
        </w:rPr>
        <w:t xml:space="preserve"> B.V.</w:t>
      </w:r>
      <w:r w:rsidR="009F10A1" w:rsidRPr="001C6D23">
        <w:rPr>
          <w:rFonts w:ascii="Helvetica" w:hAnsi="Helvetica" w:cs="Arial"/>
          <w:sz w:val="22"/>
          <w:szCs w:val="22"/>
        </w:rPr>
        <w:t>;</w:t>
      </w:r>
    </w:p>
    <w:p w14:paraId="2C28AA32" w14:textId="77777777" w:rsidR="009F10A1" w:rsidRPr="001C6D23" w:rsidRDefault="002B2C8A" w:rsidP="009F10A1">
      <w:pPr>
        <w:numPr>
          <w:ilvl w:val="0"/>
          <w:numId w:val="39"/>
        </w:numPr>
        <w:rPr>
          <w:rFonts w:ascii="Helvetica" w:hAnsi="Helvetica" w:cs="Arial"/>
          <w:sz w:val="22"/>
          <w:szCs w:val="22"/>
        </w:rPr>
      </w:pPr>
      <w:r>
        <w:rPr>
          <w:rFonts w:ascii="Helvetica" w:hAnsi="Helvetica" w:cs="Arial"/>
          <w:sz w:val="22"/>
          <w:szCs w:val="22"/>
        </w:rPr>
        <w:t xml:space="preserve">Van Diepen BV </w:t>
      </w:r>
      <w:r w:rsidR="00566032">
        <w:rPr>
          <w:rFonts w:ascii="Helvetica" w:hAnsi="Helvetica" w:cs="Arial"/>
          <w:sz w:val="22"/>
          <w:szCs w:val="22"/>
        </w:rPr>
        <w:t>heeft</w:t>
      </w:r>
      <w:r w:rsidR="009F10A1" w:rsidRPr="001C6D23">
        <w:rPr>
          <w:rFonts w:ascii="Helvetica" w:hAnsi="Helvetica" w:cs="Arial"/>
          <w:sz w:val="22"/>
          <w:szCs w:val="22"/>
        </w:rPr>
        <w:t xml:space="preserve"> geen franchise activiteiten;</w:t>
      </w:r>
    </w:p>
    <w:p w14:paraId="2F1616C8" w14:textId="77777777" w:rsidR="00256F9D" w:rsidRPr="001C6D23" w:rsidRDefault="002B2C8A" w:rsidP="00256F9D">
      <w:pPr>
        <w:numPr>
          <w:ilvl w:val="0"/>
          <w:numId w:val="39"/>
        </w:numPr>
        <w:rPr>
          <w:rFonts w:ascii="Helvetica" w:hAnsi="Helvetica" w:cs="Arial"/>
          <w:sz w:val="22"/>
          <w:szCs w:val="22"/>
        </w:rPr>
      </w:pPr>
      <w:r>
        <w:rPr>
          <w:rFonts w:ascii="Helvetica" w:hAnsi="Helvetica" w:cs="Arial"/>
          <w:sz w:val="22"/>
          <w:szCs w:val="22"/>
        </w:rPr>
        <w:t>Van Diepen BV</w:t>
      </w:r>
      <w:r w:rsidR="00566032">
        <w:rPr>
          <w:rFonts w:ascii="Helvetica" w:hAnsi="Helvetica" w:cs="Arial"/>
          <w:sz w:val="22"/>
          <w:szCs w:val="22"/>
        </w:rPr>
        <w:t xml:space="preserve"> is</w:t>
      </w:r>
      <w:r w:rsidR="00256F9D" w:rsidRPr="001C6D23">
        <w:rPr>
          <w:rFonts w:ascii="Helvetica" w:hAnsi="Helvetica" w:cs="Arial"/>
          <w:sz w:val="22"/>
          <w:szCs w:val="22"/>
        </w:rPr>
        <w:t xml:space="preserve"> geen A-leverancier van een ander bedrijf binnen hetzelfde concern;</w:t>
      </w:r>
    </w:p>
    <w:p w14:paraId="7D74CF98" w14:textId="77777777" w:rsidR="00566032" w:rsidRDefault="002B2C8A" w:rsidP="00256F9D">
      <w:pPr>
        <w:numPr>
          <w:ilvl w:val="0"/>
          <w:numId w:val="39"/>
        </w:numPr>
        <w:rPr>
          <w:rFonts w:ascii="Helvetica" w:hAnsi="Helvetica" w:cs="Arial"/>
          <w:sz w:val="22"/>
          <w:szCs w:val="22"/>
        </w:rPr>
      </w:pPr>
      <w:r>
        <w:rPr>
          <w:rFonts w:ascii="Helvetica" w:hAnsi="Helvetica" w:cs="Arial"/>
          <w:sz w:val="22"/>
          <w:szCs w:val="22"/>
        </w:rPr>
        <w:t>Van Diepen BV</w:t>
      </w:r>
      <w:r w:rsidR="00566032">
        <w:rPr>
          <w:rFonts w:ascii="Helvetica" w:hAnsi="Helvetica" w:cs="Arial"/>
          <w:sz w:val="22"/>
          <w:szCs w:val="22"/>
        </w:rPr>
        <w:t xml:space="preserve"> is </w:t>
      </w:r>
      <w:r w:rsidR="00310475" w:rsidRPr="001C6D23">
        <w:rPr>
          <w:rFonts w:ascii="Helvetica" w:hAnsi="Helvetica" w:cs="Arial"/>
          <w:sz w:val="22"/>
          <w:szCs w:val="22"/>
        </w:rPr>
        <w:t>geen</w:t>
      </w:r>
      <w:r w:rsidR="00256F9D" w:rsidRPr="001C6D23">
        <w:rPr>
          <w:rFonts w:ascii="Helvetica" w:hAnsi="Helvetica" w:cs="Arial"/>
          <w:sz w:val="22"/>
          <w:szCs w:val="22"/>
        </w:rPr>
        <w:t xml:space="preserve"> A-leverancier die tevens concern-aanbieder </w:t>
      </w:r>
      <w:r w:rsidR="00566032">
        <w:rPr>
          <w:rFonts w:ascii="Helvetica" w:hAnsi="Helvetica" w:cs="Arial"/>
          <w:sz w:val="22"/>
          <w:szCs w:val="22"/>
        </w:rPr>
        <w:t>is</w:t>
      </w:r>
    </w:p>
    <w:p w14:paraId="054CEB5D" w14:textId="77777777" w:rsidR="001C6D23" w:rsidRDefault="001C6D23" w:rsidP="009F10A1">
      <w:pPr>
        <w:rPr>
          <w:rFonts w:ascii="Helvetica" w:hAnsi="Helvetica" w:cs="Arial"/>
        </w:rPr>
      </w:pPr>
    </w:p>
    <w:p w14:paraId="72EE0D0C" w14:textId="77777777" w:rsidR="009F10A1" w:rsidRPr="001C6D23" w:rsidRDefault="009F10A1" w:rsidP="001C6D23">
      <w:pPr>
        <w:pStyle w:val="Kop1"/>
        <w:spacing w:before="0" w:after="0" w:line="240" w:lineRule="auto"/>
        <w:rPr>
          <w:rFonts w:ascii="Helvetica" w:hAnsi="Helvetica"/>
          <w:b/>
          <w:sz w:val="24"/>
          <w:szCs w:val="24"/>
        </w:rPr>
      </w:pPr>
      <w:bookmarkStart w:id="17" w:name="_Toc280352953"/>
      <w:bookmarkStart w:id="18" w:name="_Toc298250968"/>
      <w:bookmarkStart w:id="19" w:name="_Toc327715420"/>
      <w:bookmarkStart w:id="20" w:name="_Toc327715960"/>
      <w:r w:rsidRPr="001C6D23">
        <w:rPr>
          <w:rFonts w:ascii="Helvetica" w:hAnsi="Helvetica"/>
          <w:b/>
          <w:sz w:val="24"/>
          <w:szCs w:val="24"/>
        </w:rPr>
        <w:lastRenderedPageBreak/>
        <w:t>Directe en indirecte GHG-emissies</w:t>
      </w:r>
      <w:bookmarkEnd w:id="17"/>
      <w:bookmarkEnd w:id="18"/>
      <w:bookmarkEnd w:id="19"/>
      <w:bookmarkEnd w:id="20"/>
    </w:p>
    <w:p w14:paraId="31778364" w14:textId="77777777" w:rsidR="009F10A1" w:rsidRPr="001C6D23" w:rsidRDefault="009F10A1" w:rsidP="009F10A1">
      <w:pPr>
        <w:rPr>
          <w:rFonts w:ascii="Helvetica" w:hAnsi="Helvetica"/>
          <w:sz w:val="22"/>
          <w:szCs w:val="22"/>
        </w:rPr>
      </w:pPr>
      <w:r w:rsidRPr="001C6D23">
        <w:rPr>
          <w:rFonts w:ascii="Helvetica" w:hAnsi="Helvetica"/>
          <w:sz w:val="22"/>
          <w:szCs w:val="22"/>
        </w:rPr>
        <w:t>In dit hoofdstuk word</w:t>
      </w:r>
      <w:r w:rsidR="00711931" w:rsidRPr="001C6D23">
        <w:rPr>
          <w:rFonts w:ascii="Helvetica" w:hAnsi="Helvetica"/>
          <w:sz w:val="22"/>
          <w:szCs w:val="22"/>
        </w:rPr>
        <w:t>en</w:t>
      </w:r>
      <w:r w:rsidRPr="001C6D23">
        <w:rPr>
          <w:rFonts w:ascii="Helvetica" w:hAnsi="Helvetica"/>
          <w:sz w:val="22"/>
          <w:szCs w:val="22"/>
        </w:rPr>
        <w:t xml:space="preserve"> de berekende GHG emissies toegelicht.</w:t>
      </w:r>
    </w:p>
    <w:p w14:paraId="50F85AE2" w14:textId="77777777" w:rsidR="00FA3B66" w:rsidRPr="00310475" w:rsidRDefault="00FA3B66" w:rsidP="009F10A1">
      <w:pPr>
        <w:rPr>
          <w:rFonts w:ascii="Helvetica" w:hAnsi="Helvetica"/>
        </w:rPr>
      </w:pPr>
    </w:p>
    <w:p w14:paraId="62C37BD9" w14:textId="77777777" w:rsidR="009F10A1" w:rsidRPr="001C6D23" w:rsidRDefault="009F10A1" w:rsidP="001C6D23">
      <w:pPr>
        <w:pStyle w:val="Kop2"/>
        <w:spacing w:before="0" w:after="0" w:line="240" w:lineRule="auto"/>
        <w:rPr>
          <w:rFonts w:ascii="Helvetica" w:hAnsi="Helvetica"/>
          <w:b/>
        </w:rPr>
      </w:pPr>
      <w:bookmarkStart w:id="21" w:name="_Toc280352954"/>
      <w:bookmarkStart w:id="22" w:name="_Toc298250969"/>
      <w:bookmarkStart w:id="23" w:name="_Toc327715421"/>
      <w:bookmarkStart w:id="24" w:name="_Toc327715961"/>
      <w:r w:rsidRPr="001C6D23">
        <w:rPr>
          <w:rFonts w:ascii="Helvetica" w:hAnsi="Helvetica"/>
          <w:b/>
        </w:rPr>
        <w:t>Berekende GHG emissies</w:t>
      </w:r>
      <w:bookmarkEnd w:id="21"/>
      <w:bookmarkEnd w:id="22"/>
      <w:bookmarkEnd w:id="23"/>
      <w:bookmarkEnd w:id="24"/>
    </w:p>
    <w:p w14:paraId="00731551" w14:textId="68320E7F" w:rsidR="00B94C18" w:rsidRPr="001C6D23" w:rsidRDefault="009F10A1" w:rsidP="00B94C18">
      <w:pPr>
        <w:rPr>
          <w:rFonts w:ascii="Helvetica" w:hAnsi="Helvetica" w:cs="Arial"/>
          <w:sz w:val="22"/>
          <w:szCs w:val="22"/>
        </w:rPr>
      </w:pPr>
      <w:r w:rsidRPr="001C6D23">
        <w:rPr>
          <w:rFonts w:ascii="Helvetica" w:hAnsi="Helvetica" w:cs="Arial"/>
          <w:sz w:val="22"/>
          <w:szCs w:val="22"/>
        </w:rPr>
        <w:t xml:space="preserve">De directe en indirecte GHG emissie van </w:t>
      </w:r>
      <w:proofErr w:type="spellStart"/>
      <w:r w:rsidR="002B2C8A">
        <w:rPr>
          <w:rFonts w:ascii="Helvetica" w:hAnsi="Helvetica" w:cs="Arial"/>
          <w:sz w:val="22"/>
          <w:szCs w:val="22"/>
        </w:rPr>
        <w:t>Van</w:t>
      </w:r>
      <w:proofErr w:type="spellEnd"/>
      <w:r w:rsidR="002B2C8A">
        <w:rPr>
          <w:rFonts w:ascii="Helvetica" w:hAnsi="Helvetica" w:cs="Arial"/>
          <w:sz w:val="22"/>
          <w:szCs w:val="22"/>
        </w:rPr>
        <w:t xml:space="preserve"> Diepen BV</w:t>
      </w:r>
      <w:r w:rsidR="00566032">
        <w:rPr>
          <w:rFonts w:ascii="Helvetica" w:hAnsi="Helvetica" w:cs="Arial"/>
          <w:sz w:val="22"/>
          <w:szCs w:val="22"/>
        </w:rPr>
        <w:t xml:space="preserve"> </w:t>
      </w:r>
      <w:r w:rsidRPr="001C6D23">
        <w:rPr>
          <w:rFonts w:ascii="Helvetica" w:hAnsi="Helvetica" w:cs="Arial"/>
          <w:sz w:val="22"/>
          <w:szCs w:val="22"/>
        </w:rPr>
        <w:t>bedroeg in 20</w:t>
      </w:r>
      <w:r w:rsidR="00A51EC5">
        <w:rPr>
          <w:rFonts w:ascii="Helvetica" w:hAnsi="Helvetica" w:cs="Arial"/>
          <w:sz w:val="22"/>
          <w:szCs w:val="22"/>
        </w:rPr>
        <w:t>2</w:t>
      </w:r>
      <w:r w:rsidR="00A767EC">
        <w:rPr>
          <w:rFonts w:ascii="Helvetica" w:hAnsi="Helvetica" w:cs="Arial"/>
          <w:sz w:val="22"/>
          <w:szCs w:val="22"/>
        </w:rPr>
        <w:t>3</w:t>
      </w:r>
      <w:r w:rsidR="0051486F" w:rsidRPr="001C6D23">
        <w:rPr>
          <w:rFonts w:ascii="Helvetica" w:hAnsi="Helvetica" w:cs="Arial"/>
          <w:sz w:val="22"/>
          <w:szCs w:val="22"/>
        </w:rPr>
        <w:t xml:space="preserve">, </w:t>
      </w:r>
      <w:r w:rsidR="00566032">
        <w:rPr>
          <w:rFonts w:ascii="Helvetica" w:hAnsi="Helvetica" w:cs="Arial"/>
          <w:sz w:val="22"/>
          <w:szCs w:val="22"/>
        </w:rPr>
        <w:t>1.</w:t>
      </w:r>
      <w:r w:rsidR="00A767EC">
        <w:rPr>
          <w:rFonts w:ascii="Helvetica" w:hAnsi="Helvetica" w:cs="Arial"/>
          <w:sz w:val="22"/>
          <w:szCs w:val="22"/>
        </w:rPr>
        <w:t>133</w:t>
      </w:r>
      <w:r w:rsidR="001E06CE">
        <w:rPr>
          <w:rFonts w:ascii="Helvetica" w:hAnsi="Helvetica" w:cs="Arial"/>
          <w:sz w:val="22"/>
          <w:szCs w:val="22"/>
        </w:rPr>
        <w:t>,</w:t>
      </w:r>
      <w:r w:rsidR="00A767EC">
        <w:rPr>
          <w:rFonts w:ascii="Helvetica" w:hAnsi="Helvetica" w:cs="Arial"/>
          <w:sz w:val="22"/>
          <w:szCs w:val="22"/>
        </w:rPr>
        <w:t>9</w:t>
      </w:r>
      <w:r w:rsidRPr="001C6D23">
        <w:rPr>
          <w:rFonts w:ascii="Helvetica" w:hAnsi="Helvetica" w:cs="Arial"/>
          <w:sz w:val="22"/>
          <w:szCs w:val="22"/>
        </w:rPr>
        <w:t xml:space="preserve"> ton CO</w:t>
      </w:r>
      <w:r w:rsidRPr="001C6D23">
        <w:rPr>
          <w:rFonts w:ascii="Helvetica" w:hAnsi="Helvetica" w:cs="Arial"/>
          <w:sz w:val="22"/>
          <w:szCs w:val="22"/>
          <w:vertAlign w:val="subscript"/>
        </w:rPr>
        <w:t>2.</w:t>
      </w:r>
      <w:r w:rsidRPr="001C6D23">
        <w:rPr>
          <w:rFonts w:ascii="Helvetica" w:hAnsi="Helvetica" w:cs="Arial"/>
          <w:sz w:val="22"/>
          <w:szCs w:val="22"/>
        </w:rPr>
        <w:t xml:space="preserve">. Hiervan werd </w:t>
      </w:r>
      <w:r w:rsidR="00EF2B12">
        <w:rPr>
          <w:rFonts w:ascii="Helvetica" w:hAnsi="Helvetica" w:cs="Arial"/>
          <w:sz w:val="22"/>
          <w:szCs w:val="22"/>
        </w:rPr>
        <w:t>1.</w:t>
      </w:r>
      <w:r w:rsidR="00A767EC">
        <w:rPr>
          <w:rFonts w:ascii="Helvetica" w:hAnsi="Helvetica" w:cs="Arial"/>
          <w:sz w:val="22"/>
          <w:szCs w:val="22"/>
        </w:rPr>
        <w:t>133</w:t>
      </w:r>
      <w:r w:rsidR="001E06CE">
        <w:rPr>
          <w:rFonts w:ascii="Helvetica" w:hAnsi="Helvetica" w:cs="Arial"/>
          <w:sz w:val="22"/>
          <w:szCs w:val="22"/>
        </w:rPr>
        <w:t>,</w:t>
      </w:r>
      <w:r w:rsidR="00A767EC">
        <w:rPr>
          <w:rFonts w:ascii="Helvetica" w:hAnsi="Helvetica" w:cs="Arial"/>
          <w:sz w:val="22"/>
          <w:szCs w:val="22"/>
        </w:rPr>
        <w:t>9</w:t>
      </w:r>
      <w:r w:rsidRPr="001C6D23">
        <w:rPr>
          <w:rFonts w:ascii="Helvetica" w:hAnsi="Helvetica" w:cs="Arial"/>
          <w:sz w:val="22"/>
          <w:szCs w:val="22"/>
        </w:rPr>
        <w:t xml:space="preserve"> ton CO</w:t>
      </w:r>
      <w:r w:rsidRPr="001C6D23">
        <w:rPr>
          <w:rFonts w:ascii="Helvetica" w:hAnsi="Helvetica" w:cs="Arial"/>
          <w:sz w:val="22"/>
          <w:szCs w:val="22"/>
          <w:vertAlign w:val="subscript"/>
        </w:rPr>
        <w:t>2</w:t>
      </w:r>
      <w:r w:rsidRPr="001C6D23">
        <w:rPr>
          <w:rFonts w:ascii="Helvetica" w:hAnsi="Helvetica" w:cs="Arial"/>
          <w:sz w:val="22"/>
          <w:szCs w:val="22"/>
        </w:rPr>
        <w:t xml:space="preserve"> veroorzaakt door directe GHG emissie (scope 1) en </w:t>
      </w:r>
      <w:r w:rsidR="00A51EC5">
        <w:rPr>
          <w:rFonts w:ascii="Helvetica" w:hAnsi="Helvetica" w:cs="Arial"/>
          <w:sz w:val="22"/>
          <w:szCs w:val="22"/>
        </w:rPr>
        <w:t>0</w:t>
      </w:r>
      <w:r w:rsidRPr="001C6D23">
        <w:rPr>
          <w:rFonts w:ascii="Helvetica" w:hAnsi="Helvetica" w:cs="Arial"/>
          <w:sz w:val="22"/>
          <w:szCs w:val="22"/>
        </w:rPr>
        <w:t xml:space="preserve"> ton CO</w:t>
      </w:r>
      <w:r w:rsidRPr="001C6D23">
        <w:rPr>
          <w:rFonts w:ascii="Helvetica" w:hAnsi="Helvetica" w:cs="Arial"/>
          <w:sz w:val="22"/>
          <w:szCs w:val="22"/>
          <w:vertAlign w:val="subscript"/>
        </w:rPr>
        <w:t>2</w:t>
      </w:r>
      <w:r w:rsidRPr="001C6D23">
        <w:rPr>
          <w:rFonts w:ascii="Helvetica" w:hAnsi="Helvetica" w:cs="Arial"/>
          <w:sz w:val="22"/>
          <w:szCs w:val="22"/>
        </w:rPr>
        <w:t xml:space="preserve"> door indirecte GHG emissie (scope 2).</w:t>
      </w:r>
      <w:r w:rsidR="005D0078">
        <w:rPr>
          <w:rFonts w:ascii="Helvetica" w:hAnsi="Helvetica" w:cs="Arial"/>
          <w:sz w:val="22"/>
          <w:szCs w:val="22"/>
        </w:rPr>
        <w:t xml:space="preserve"> </w:t>
      </w:r>
      <w:proofErr w:type="spellStart"/>
      <w:r w:rsidR="005E7C51">
        <w:rPr>
          <w:rFonts w:ascii="Helvetica" w:hAnsi="Helvetica" w:cs="Arial"/>
          <w:sz w:val="22"/>
          <w:szCs w:val="22"/>
        </w:rPr>
        <w:t>Businesstravel</w:t>
      </w:r>
      <w:proofErr w:type="spellEnd"/>
      <w:r w:rsidR="005E7C51">
        <w:rPr>
          <w:rFonts w:ascii="Helvetica" w:hAnsi="Helvetica" w:cs="Arial"/>
          <w:sz w:val="22"/>
          <w:szCs w:val="22"/>
        </w:rPr>
        <w:t xml:space="preserve"> (scope 3) is niet aan de orde in 202</w:t>
      </w:r>
      <w:r w:rsidR="00A767EC">
        <w:rPr>
          <w:rFonts w:ascii="Helvetica" w:hAnsi="Helvetica" w:cs="Arial"/>
          <w:sz w:val="22"/>
          <w:szCs w:val="22"/>
        </w:rPr>
        <w:t>3</w:t>
      </w:r>
      <w:r w:rsidR="005E7C51">
        <w:rPr>
          <w:rFonts w:ascii="Helvetica" w:hAnsi="Helvetica" w:cs="Arial"/>
          <w:sz w:val="22"/>
          <w:szCs w:val="22"/>
        </w:rPr>
        <w:t xml:space="preserve">. </w:t>
      </w:r>
      <w:r w:rsidR="00B94C18" w:rsidRPr="001C6D23">
        <w:rPr>
          <w:rFonts w:ascii="Helvetica" w:hAnsi="Helvetica" w:cs="Arial"/>
          <w:sz w:val="22"/>
          <w:szCs w:val="22"/>
        </w:rPr>
        <w:t xml:space="preserve">Onderstaande </w:t>
      </w:r>
      <w:r w:rsidR="00612029">
        <w:rPr>
          <w:rFonts w:ascii="Helvetica" w:hAnsi="Helvetica" w:cs="Arial"/>
          <w:sz w:val="22"/>
          <w:szCs w:val="22"/>
        </w:rPr>
        <w:t>tabel 1</w:t>
      </w:r>
      <w:r w:rsidR="00B94C18" w:rsidRPr="001C6D23">
        <w:rPr>
          <w:rFonts w:ascii="Helvetica" w:hAnsi="Helvetica" w:cs="Arial"/>
          <w:sz w:val="22"/>
          <w:szCs w:val="22"/>
        </w:rPr>
        <w:t xml:space="preserve"> g</w:t>
      </w:r>
      <w:r w:rsidR="00612029">
        <w:rPr>
          <w:rFonts w:ascii="Helvetica" w:hAnsi="Helvetica" w:cs="Arial"/>
          <w:sz w:val="22"/>
          <w:szCs w:val="22"/>
        </w:rPr>
        <w:t>e</w:t>
      </w:r>
      <w:r w:rsidR="00B94C18" w:rsidRPr="001C6D23">
        <w:rPr>
          <w:rFonts w:ascii="Helvetica" w:hAnsi="Helvetica" w:cs="Arial"/>
          <w:sz w:val="22"/>
          <w:szCs w:val="22"/>
        </w:rPr>
        <w:t>e</w:t>
      </w:r>
      <w:r w:rsidR="00612029">
        <w:rPr>
          <w:rFonts w:ascii="Helvetica" w:hAnsi="Helvetica" w:cs="Arial"/>
          <w:sz w:val="22"/>
          <w:szCs w:val="22"/>
        </w:rPr>
        <w:t>ft</w:t>
      </w:r>
      <w:r w:rsidR="00B94C18" w:rsidRPr="001C6D23">
        <w:rPr>
          <w:rFonts w:ascii="Helvetica" w:hAnsi="Helvetica" w:cs="Arial"/>
          <w:sz w:val="22"/>
          <w:szCs w:val="22"/>
        </w:rPr>
        <w:t xml:space="preserve"> </w:t>
      </w:r>
      <w:r w:rsidR="005E7C51">
        <w:rPr>
          <w:rFonts w:ascii="Helvetica" w:hAnsi="Helvetica" w:cs="Arial"/>
          <w:sz w:val="22"/>
          <w:szCs w:val="22"/>
        </w:rPr>
        <w:t>een en ander</w:t>
      </w:r>
      <w:r w:rsidR="00B94C18" w:rsidRPr="001C6D23">
        <w:rPr>
          <w:rFonts w:ascii="Helvetica" w:hAnsi="Helvetica" w:cs="Arial"/>
          <w:sz w:val="22"/>
          <w:szCs w:val="22"/>
        </w:rPr>
        <w:t xml:space="preserve"> weer.</w:t>
      </w:r>
    </w:p>
    <w:p w14:paraId="5A0583F7" w14:textId="77777777" w:rsidR="00B662DD" w:rsidRDefault="00B662DD" w:rsidP="009F10A1">
      <w:pPr>
        <w:rPr>
          <w:rFonts w:ascii="Helvetica" w:hAnsi="Helvetica" w:cs="Arial"/>
          <w:sz w:val="22"/>
          <w:szCs w:val="22"/>
        </w:rPr>
      </w:pPr>
    </w:p>
    <w:p w14:paraId="20A475C6" w14:textId="77777777" w:rsidR="002535DC" w:rsidRPr="002535DC" w:rsidRDefault="002535DC" w:rsidP="002535DC">
      <w:pPr>
        <w:spacing w:line="276" w:lineRule="auto"/>
        <w:rPr>
          <w:rFonts w:ascii="Helvetica" w:hAnsi="Helvetica" w:cs="Helvetica"/>
          <w:b/>
          <w:sz w:val="22"/>
          <w:szCs w:val="22"/>
        </w:rPr>
      </w:pPr>
      <w:r w:rsidRPr="002535DC">
        <w:rPr>
          <w:rFonts w:ascii="Helvetica" w:hAnsi="Helvetica" w:cs="Helvetica"/>
          <w:b/>
          <w:sz w:val="22"/>
          <w:szCs w:val="22"/>
        </w:rPr>
        <w:t>Scope 1</w:t>
      </w:r>
    </w:p>
    <w:p w14:paraId="6046E01B" w14:textId="0348D209" w:rsidR="002535DC" w:rsidRPr="002535DC" w:rsidRDefault="002535DC" w:rsidP="002535DC">
      <w:pPr>
        <w:spacing w:line="276" w:lineRule="auto"/>
        <w:rPr>
          <w:rFonts w:ascii="Helvetica" w:hAnsi="Helvetica" w:cs="Helvetica"/>
          <w:sz w:val="22"/>
          <w:szCs w:val="22"/>
        </w:rPr>
      </w:pPr>
      <w:r w:rsidRPr="002535DC">
        <w:rPr>
          <w:rFonts w:ascii="Helvetica" w:hAnsi="Helvetica" w:cs="Helvetica"/>
          <w:sz w:val="22"/>
          <w:szCs w:val="22"/>
        </w:rPr>
        <w:t>Het verbruik van lasgassen is bekend</w:t>
      </w:r>
      <w:r>
        <w:rPr>
          <w:rFonts w:ascii="Helvetica" w:hAnsi="Helvetica" w:cs="Helvetica"/>
          <w:sz w:val="22"/>
          <w:szCs w:val="22"/>
        </w:rPr>
        <w:t xml:space="preserve">, </w:t>
      </w:r>
      <w:proofErr w:type="spellStart"/>
      <w:r>
        <w:rPr>
          <w:rFonts w:ascii="Helvetica" w:hAnsi="Helvetica" w:cs="Helvetica"/>
          <w:sz w:val="22"/>
          <w:szCs w:val="22"/>
        </w:rPr>
        <w:t>Protegon</w:t>
      </w:r>
      <w:proofErr w:type="spellEnd"/>
      <w:r>
        <w:rPr>
          <w:rFonts w:ascii="Helvetica" w:hAnsi="Helvetica" w:cs="Helvetica"/>
          <w:sz w:val="22"/>
          <w:szCs w:val="22"/>
        </w:rPr>
        <w:t xml:space="preserve"> en </w:t>
      </w:r>
      <w:proofErr w:type="spellStart"/>
      <w:r>
        <w:rPr>
          <w:rFonts w:ascii="Helvetica" w:hAnsi="Helvetica" w:cs="Helvetica"/>
          <w:sz w:val="22"/>
          <w:szCs w:val="22"/>
        </w:rPr>
        <w:t>Acetylene</w:t>
      </w:r>
      <w:proofErr w:type="spellEnd"/>
      <w:r w:rsidR="0068579E">
        <w:rPr>
          <w:rFonts w:ascii="Helvetica" w:hAnsi="Helvetica" w:cs="Helvetica"/>
          <w:sz w:val="22"/>
          <w:szCs w:val="22"/>
        </w:rPr>
        <w:t>,</w:t>
      </w:r>
      <w:r w:rsidRPr="002535DC">
        <w:rPr>
          <w:rFonts w:ascii="Helvetica" w:hAnsi="Helvetica" w:cs="Helvetica"/>
          <w:sz w:val="22"/>
          <w:szCs w:val="22"/>
        </w:rPr>
        <w:t xml:space="preserve"> maar de hoeveelheden, </w:t>
      </w:r>
      <w:r w:rsidR="005E7C51">
        <w:rPr>
          <w:rFonts w:ascii="Helvetica" w:hAnsi="Helvetica" w:cs="Helvetica"/>
          <w:sz w:val="22"/>
          <w:szCs w:val="22"/>
        </w:rPr>
        <w:t>45</w:t>
      </w:r>
      <w:r w:rsidR="009457B1">
        <w:rPr>
          <w:rFonts w:ascii="Helvetica" w:hAnsi="Helvetica" w:cs="Helvetica"/>
          <w:sz w:val="22"/>
          <w:szCs w:val="22"/>
        </w:rPr>
        <w:t>0</w:t>
      </w:r>
      <w:r w:rsidRPr="002535DC">
        <w:rPr>
          <w:rFonts w:ascii="Helvetica" w:hAnsi="Helvetica" w:cs="Helvetica"/>
          <w:sz w:val="22"/>
          <w:szCs w:val="22"/>
        </w:rPr>
        <w:t xml:space="preserve"> liter = 0,</w:t>
      </w:r>
      <w:r w:rsidR="009457B1">
        <w:rPr>
          <w:rFonts w:ascii="Helvetica" w:hAnsi="Helvetica" w:cs="Helvetica"/>
          <w:sz w:val="22"/>
          <w:szCs w:val="22"/>
        </w:rPr>
        <w:t>4</w:t>
      </w:r>
      <w:r w:rsidRPr="002535DC">
        <w:rPr>
          <w:rFonts w:ascii="Helvetica" w:hAnsi="Helvetica" w:cs="Helvetica"/>
          <w:sz w:val="22"/>
          <w:szCs w:val="22"/>
        </w:rPr>
        <w:t xml:space="preserve"> ton = 0,0</w:t>
      </w:r>
      <w:r w:rsidR="009457B1">
        <w:rPr>
          <w:rFonts w:ascii="Helvetica" w:hAnsi="Helvetica" w:cs="Helvetica"/>
          <w:sz w:val="22"/>
          <w:szCs w:val="22"/>
        </w:rPr>
        <w:t>3</w:t>
      </w:r>
      <w:r w:rsidRPr="002535DC">
        <w:rPr>
          <w:rFonts w:ascii="Helvetica" w:hAnsi="Helvetica" w:cs="Helvetica"/>
          <w:sz w:val="22"/>
          <w:szCs w:val="22"/>
        </w:rPr>
        <w:t xml:space="preserve">% van de footprint, zijn nihil en hebben geen significante invloed op de emissies en/of reductiebeleid. </w:t>
      </w:r>
      <w:r w:rsidR="00C03956" w:rsidRPr="00CB137B">
        <w:rPr>
          <w:rFonts w:ascii="Helvetica" w:hAnsi="Helvetica" w:cs="Helvetica"/>
          <w:sz w:val="22"/>
          <w:szCs w:val="22"/>
        </w:rPr>
        <w:t>Dit geldt ook voor het verbruik van koudemiddelen.</w:t>
      </w:r>
      <w:r w:rsidR="00C03956">
        <w:rPr>
          <w:rFonts w:ascii="Helvetica" w:hAnsi="Helvetica" w:cs="Helvetica"/>
          <w:sz w:val="22"/>
          <w:szCs w:val="22"/>
        </w:rPr>
        <w:t xml:space="preserve"> </w:t>
      </w:r>
      <w:r w:rsidRPr="002535DC">
        <w:rPr>
          <w:rFonts w:ascii="Helvetica" w:hAnsi="Helvetica" w:cs="Helvetica"/>
          <w:sz w:val="22"/>
          <w:szCs w:val="22"/>
        </w:rPr>
        <w:t>Het verbruik van koudemiddelen</w:t>
      </w:r>
      <w:r w:rsidR="008E7651">
        <w:rPr>
          <w:rFonts w:ascii="Helvetica" w:hAnsi="Helvetica" w:cs="Helvetica"/>
          <w:sz w:val="22"/>
          <w:szCs w:val="22"/>
        </w:rPr>
        <w:t xml:space="preserve"> is </w:t>
      </w:r>
      <w:r w:rsidR="009457B1">
        <w:rPr>
          <w:rFonts w:ascii="Helvetica" w:hAnsi="Helvetica" w:cs="Helvetica"/>
          <w:sz w:val="22"/>
          <w:szCs w:val="22"/>
        </w:rPr>
        <w:t xml:space="preserve">gemiddeld ca. </w:t>
      </w:r>
      <w:r w:rsidR="00CB137B">
        <w:rPr>
          <w:rFonts w:ascii="Helvetica" w:hAnsi="Helvetica" w:cs="Helvetica"/>
          <w:sz w:val="22"/>
          <w:szCs w:val="22"/>
        </w:rPr>
        <w:t>4 kg</w:t>
      </w:r>
      <w:r w:rsidR="009457B1">
        <w:rPr>
          <w:rFonts w:ascii="Helvetica" w:hAnsi="Helvetica" w:cs="Helvetica"/>
          <w:sz w:val="22"/>
          <w:szCs w:val="22"/>
        </w:rPr>
        <w:t xml:space="preserve"> koudemiddel R410A (</w:t>
      </w:r>
      <w:r w:rsidR="008E7651">
        <w:rPr>
          <w:rFonts w:ascii="Helvetica" w:hAnsi="Helvetica" w:cs="Helvetica"/>
          <w:sz w:val="22"/>
          <w:szCs w:val="22"/>
        </w:rPr>
        <w:t xml:space="preserve">rapport </w:t>
      </w:r>
      <w:r w:rsidR="00612029">
        <w:rPr>
          <w:rFonts w:ascii="Helvetica" w:hAnsi="Helvetica" w:cs="Helvetica"/>
          <w:sz w:val="22"/>
          <w:szCs w:val="22"/>
        </w:rPr>
        <w:t>19</w:t>
      </w:r>
      <w:r w:rsidR="008E7651">
        <w:rPr>
          <w:rFonts w:ascii="Helvetica" w:hAnsi="Helvetica" w:cs="Helvetica"/>
          <w:sz w:val="22"/>
          <w:szCs w:val="22"/>
        </w:rPr>
        <w:t>-</w:t>
      </w:r>
      <w:r w:rsidR="00612029">
        <w:rPr>
          <w:rFonts w:ascii="Helvetica" w:hAnsi="Helvetica" w:cs="Helvetica"/>
          <w:sz w:val="22"/>
          <w:szCs w:val="22"/>
        </w:rPr>
        <w:t>6</w:t>
      </w:r>
      <w:r w:rsidR="008E7651">
        <w:rPr>
          <w:rFonts w:ascii="Helvetica" w:hAnsi="Helvetica" w:cs="Helvetica"/>
          <w:sz w:val="22"/>
          <w:szCs w:val="22"/>
        </w:rPr>
        <w:t>-201</w:t>
      </w:r>
      <w:r w:rsidR="00612029">
        <w:rPr>
          <w:rFonts w:ascii="Helvetica" w:hAnsi="Helvetica" w:cs="Helvetica"/>
          <w:sz w:val="22"/>
          <w:szCs w:val="22"/>
        </w:rPr>
        <w:t>8</w:t>
      </w:r>
      <w:r w:rsidR="009457B1">
        <w:rPr>
          <w:rFonts w:ascii="Helvetica" w:hAnsi="Helvetica" w:cs="Helvetica"/>
          <w:sz w:val="22"/>
          <w:szCs w:val="22"/>
        </w:rPr>
        <w:t>)</w:t>
      </w:r>
      <w:r w:rsidR="008E7651">
        <w:rPr>
          <w:rFonts w:ascii="Helvetica" w:hAnsi="Helvetica" w:cs="Helvetica"/>
          <w:sz w:val="22"/>
          <w:szCs w:val="22"/>
        </w:rPr>
        <w:t>. B</w:t>
      </w:r>
      <w:r w:rsidRPr="002535DC">
        <w:rPr>
          <w:rFonts w:ascii="Helvetica" w:hAnsi="Helvetica" w:cs="Helvetica"/>
          <w:sz w:val="22"/>
          <w:szCs w:val="22"/>
        </w:rPr>
        <w:t>enzine (</w:t>
      </w:r>
      <w:proofErr w:type="spellStart"/>
      <w:r w:rsidRPr="002535DC">
        <w:rPr>
          <w:rFonts w:ascii="Helvetica" w:hAnsi="Helvetica" w:cs="Helvetica"/>
          <w:sz w:val="22"/>
          <w:szCs w:val="22"/>
        </w:rPr>
        <w:t>Aspen</w:t>
      </w:r>
      <w:proofErr w:type="spellEnd"/>
      <w:r w:rsidRPr="002535DC">
        <w:rPr>
          <w:rFonts w:ascii="Helvetica" w:hAnsi="Helvetica" w:cs="Helvetica"/>
          <w:sz w:val="22"/>
          <w:szCs w:val="22"/>
        </w:rPr>
        <w:t xml:space="preserve">) </w:t>
      </w:r>
      <w:r w:rsidR="008E7651">
        <w:rPr>
          <w:rFonts w:ascii="Helvetica" w:hAnsi="Helvetica" w:cs="Helvetica"/>
          <w:sz w:val="22"/>
          <w:szCs w:val="22"/>
        </w:rPr>
        <w:t xml:space="preserve">handgereedschap </w:t>
      </w:r>
      <w:r w:rsidR="00C46FB3">
        <w:rPr>
          <w:rFonts w:ascii="Helvetica" w:hAnsi="Helvetica" w:cs="Helvetica"/>
          <w:sz w:val="22"/>
          <w:szCs w:val="22"/>
        </w:rPr>
        <w:t>150</w:t>
      </w:r>
      <w:r w:rsidRPr="002535DC">
        <w:rPr>
          <w:rFonts w:ascii="Helvetica" w:hAnsi="Helvetica" w:cs="Helvetica"/>
          <w:sz w:val="22"/>
          <w:szCs w:val="22"/>
        </w:rPr>
        <w:t xml:space="preserve"> liter en olie- en smeermiddelen hebben geen invloed op de totale emissie en reductiebeleid.</w:t>
      </w:r>
    </w:p>
    <w:p w14:paraId="1A1047F9" w14:textId="77777777" w:rsidR="002535DC" w:rsidRPr="002535DC" w:rsidRDefault="002535DC" w:rsidP="002535DC">
      <w:pPr>
        <w:spacing w:line="276" w:lineRule="auto"/>
        <w:rPr>
          <w:rFonts w:ascii="Helvetica" w:hAnsi="Helvetica" w:cs="Helvetica"/>
          <w:sz w:val="22"/>
          <w:szCs w:val="22"/>
        </w:rPr>
      </w:pPr>
    </w:p>
    <w:p w14:paraId="7DA5DEF7" w14:textId="77777777" w:rsidR="002535DC" w:rsidRPr="002535DC" w:rsidRDefault="002535DC" w:rsidP="002535DC">
      <w:pPr>
        <w:spacing w:line="276" w:lineRule="auto"/>
        <w:rPr>
          <w:rFonts w:ascii="Helvetica" w:hAnsi="Helvetica" w:cs="Helvetica"/>
          <w:b/>
          <w:sz w:val="22"/>
          <w:szCs w:val="22"/>
        </w:rPr>
      </w:pPr>
      <w:r w:rsidRPr="002535DC">
        <w:rPr>
          <w:rFonts w:ascii="Helvetica" w:hAnsi="Helvetica" w:cs="Helvetica"/>
          <w:b/>
          <w:sz w:val="22"/>
          <w:szCs w:val="22"/>
        </w:rPr>
        <w:t>Scope 2</w:t>
      </w:r>
    </w:p>
    <w:p w14:paraId="5F679CD2" w14:textId="77777777" w:rsidR="002535DC" w:rsidRDefault="005D0078" w:rsidP="002535DC">
      <w:pPr>
        <w:spacing w:line="276" w:lineRule="auto"/>
        <w:rPr>
          <w:rFonts w:ascii="Helvetica" w:hAnsi="Helvetica" w:cs="Helvetica"/>
          <w:sz w:val="22"/>
          <w:szCs w:val="22"/>
        </w:rPr>
      </w:pPr>
      <w:r>
        <w:rPr>
          <w:rFonts w:ascii="Helvetica" w:hAnsi="Helvetica" w:cs="Helvetica"/>
          <w:sz w:val="22"/>
          <w:szCs w:val="22"/>
        </w:rPr>
        <w:t xml:space="preserve">Tot 4 oktober 2019 </w:t>
      </w:r>
      <w:r w:rsidR="002535DC" w:rsidRPr="002535DC">
        <w:rPr>
          <w:rFonts w:ascii="Helvetica" w:hAnsi="Helvetica" w:cs="Helvetica"/>
          <w:sz w:val="22"/>
          <w:szCs w:val="22"/>
        </w:rPr>
        <w:t>w</w:t>
      </w:r>
      <w:r>
        <w:rPr>
          <w:rFonts w:ascii="Helvetica" w:hAnsi="Helvetica" w:cs="Helvetica"/>
          <w:sz w:val="22"/>
          <w:szCs w:val="22"/>
        </w:rPr>
        <w:t>e</w:t>
      </w:r>
      <w:r w:rsidR="002535DC" w:rsidRPr="002535DC">
        <w:rPr>
          <w:rFonts w:ascii="Helvetica" w:hAnsi="Helvetica" w:cs="Helvetica"/>
          <w:sz w:val="22"/>
          <w:szCs w:val="22"/>
        </w:rPr>
        <w:t xml:space="preserve">rd </w:t>
      </w:r>
      <w:r w:rsidR="00CB137B">
        <w:rPr>
          <w:rFonts w:ascii="Helvetica" w:hAnsi="Helvetica" w:cs="Helvetica"/>
          <w:sz w:val="22"/>
          <w:szCs w:val="22"/>
        </w:rPr>
        <w:t xml:space="preserve">aan de Lutkedijk </w:t>
      </w:r>
      <w:r w:rsidR="002535DC" w:rsidRPr="002535DC">
        <w:rPr>
          <w:rFonts w:ascii="Helvetica" w:hAnsi="Helvetica" w:cs="Helvetica"/>
          <w:sz w:val="22"/>
          <w:szCs w:val="22"/>
        </w:rPr>
        <w:t xml:space="preserve">gebruik gemaakt van </w:t>
      </w:r>
      <w:r w:rsidR="00CB137B">
        <w:rPr>
          <w:rFonts w:ascii="Helvetica" w:hAnsi="Helvetica" w:cs="Helvetica"/>
          <w:sz w:val="22"/>
          <w:szCs w:val="22"/>
        </w:rPr>
        <w:t xml:space="preserve">groene stroom op basis van biomassa, afkomstig van Nieuwe Stroom. Dit is aantoonbaar middels </w:t>
      </w:r>
      <w:r w:rsidR="002535DC" w:rsidRPr="002535DC">
        <w:rPr>
          <w:rFonts w:ascii="Helvetica" w:hAnsi="Helvetica" w:cs="Helvetica"/>
          <w:sz w:val="22"/>
          <w:szCs w:val="22"/>
        </w:rPr>
        <w:t xml:space="preserve">een “garantie van oorsprong” als bedoeld en uitgegeven door </w:t>
      </w:r>
      <w:proofErr w:type="spellStart"/>
      <w:r w:rsidR="002535DC" w:rsidRPr="002535DC">
        <w:rPr>
          <w:rFonts w:ascii="Helvetica" w:hAnsi="Helvetica" w:cs="Helvetica"/>
          <w:sz w:val="22"/>
          <w:szCs w:val="22"/>
        </w:rPr>
        <w:t>CertiQ</w:t>
      </w:r>
      <w:proofErr w:type="spellEnd"/>
      <w:r w:rsidR="002535DC" w:rsidRPr="002535DC">
        <w:rPr>
          <w:rFonts w:ascii="Helvetica" w:hAnsi="Helvetica" w:cs="Helvetica"/>
          <w:sz w:val="22"/>
          <w:szCs w:val="22"/>
        </w:rPr>
        <w:t xml:space="preserve"> of SMK keurmerk.</w:t>
      </w:r>
      <w:r w:rsidR="00CB137B">
        <w:rPr>
          <w:rFonts w:ascii="Helvetica" w:hAnsi="Helvetica" w:cs="Helvetica"/>
          <w:sz w:val="22"/>
          <w:szCs w:val="22"/>
        </w:rPr>
        <w:t xml:space="preserve"> De gebruikte conversiefactor is ontleend aan de tabel </w:t>
      </w:r>
      <w:hyperlink r:id="rId11" w:history="1">
        <w:r w:rsidR="00CB137B" w:rsidRPr="00F91CA9">
          <w:rPr>
            <w:rStyle w:val="Hyperlink"/>
            <w:rFonts w:ascii="Helvetica" w:hAnsi="Helvetica" w:cs="Helvetica"/>
            <w:sz w:val="22"/>
            <w:szCs w:val="22"/>
          </w:rPr>
          <w:t>www.co2emissiefactoren.nl</w:t>
        </w:r>
      </w:hyperlink>
      <w:r w:rsidR="00CB137B">
        <w:rPr>
          <w:rFonts w:ascii="Helvetica" w:hAnsi="Helvetica" w:cs="Helvetica"/>
          <w:sz w:val="22"/>
          <w:szCs w:val="22"/>
        </w:rPr>
        <w:t>.</w:t>
      </w:r>
      <w:r>
        <w:rPr>
          <w:rFonts w:ascii="Helvetica" w:hAnsi="Helvetica" w:cs="Helvetica"/>
          <w:sz w:val="22"/>
          <w:szCs w:val="22"/>
        </w:rPr>
        <w:t xml:space="preserve"> Vanaf 4 oktober is een nieuw contract ingegaan met </w:t>
      </w:r>
      <w:proofErr w:type="spellStart"/>
      <w:r>
        <w:rPr>
          <w:rFonts w:ascii="Helvetica" w:hAnsi="Helvetica" w:cs="Helvetica"/>
          <w:sz w:val="22"/>
          <w:szCs w:val="22"/>
        </w:rPr>
        <w:t>Vattenfall</w:t>
      </w:r>
      <w:proofErr w:type="spellEnd"/>
      <w:r>
        <w:rPr>
          <w:rFonts w:ascii="Helvetica" w:hAnsi="Helvetica" w:cs="Helvetica"/>
          <w:sz w:val="22"/>
          <w:szCs w:val="22"/>
        </w:rPr>
        <w:t xml:space="preserve">, Groen uit Nederland. Deze stroom is genoteerd tegen de emissiefactor 0. </w:t>
      </w:r>
    </w:p>
    <w:p w14:paraId="24F7FE21" w14:textId="77777777" w:rsidR="002535DC" w:rsidRPr="002535DC" w:rsidRDefault="00CB137B" w:rsidP="002535DC">
      <w:pPr>
        <w:spacing w:line="276" w:lineRule="auto"/>
        <w:rPr>
          <w:rFonts w:ascii="Helvetica" w:hAnsi="Helvetica" w:cs="Helvetica"/>
          <w:sz w:val="22"/>
          <w:szCs w:val="22"/>
        </w:rPr>
      </w:pPr>
      <w:r>
        <w:rPr>
          <w:rFonts w:ascii="Helvetica" w:hAnsi="Helvetica" w:cs="Helvetica"/>
          <w:sz w:val="22"/>
          <w:szCs w:val="22"/>
        </w:rPr>
        <w:t xml:space="preserve">Op de locatie aan de Noorderbrug is </w:t>
      </w:r>
      <w:r w:rsidR="009457B1">
        <w:rPr>
          <w:rFonts w:ascii="Helvetica" w:hAnsi="Helvetica" w:cs="Helvetica"/>
          <w:sz w:val="22"/>
          <w:szCs w:val="22"/>
        </w:rPr>
        <w:t xml:space="preserve">vanaf 2020 geen </w:t>
      </w:r>
      <w:r>
        <w:rPr>
          <w:rFonts w:ascii="Helvetica" w:hAnsi="Helvetica" w:cs="Helvetica"/>
          <w:sz w:val="22"/>
          <w:szCs w:val="22"/>
        </w:rPr>
        <w:t>stroom gebruikt</w:t>
      </w:r>
      <w:r w:rsidR="009457B1">
        <w:rPr>
          <w:rFonts w:ascii="Helvetica" w:hAnsi="Helvetica" w:cs="Helvetica"/>
          <w:sz w:val="22"/>
          <w:szCs w:val="22"/>
        </w:rPr>
        <w:t>, omdat de activiteit spoelen daar gestaakt is</w:t>
      </w:r>
      <w:r>
        <w:rPr>
          <w:rFonts w:ascii="Helvetica" w:hAnsi="Helvetica" w:cs="Helvetica"/>
          <w:sz w:val="22"/>
          <w:szCs w:val="22"/>
        </w:rPr>
        <w:t xml:space="preserve">. </w:t>
      </w:r>
    </w:p>
    <w:p w14:paraId="58DD09A9" w14:textId="77777777" w:rsidR="002535DC" w:rsidRDefault="002535DC" w:rsidP="009F10A1">
      <w:pPr>
        <w:rPr>
          <w:rFonts w:ascii="Helvetica" w:hAnsi="Helvetica" w:cs="Arial"/>
          <w:sz w:val="22"/>
          <w:szCs w:val="22"/>
        </w:rPr>
      </w:pPr>
    </w:p>
    <w:p w14:paraId="32C871C9" w14:textId="77777777" w:rsidR="006F2B53" w:rsidRPr="006F2B53" w:rsidRDefault="00DD2D4D" w:rsidP="009F10A1">
      <w:pPr>
        <w:rPr>
          <w:rFonts w:ascii="Helvetica" w:hAnsi="Helvetica" w:cs="Arial"/>
          <w:sz w:val="22"/>
          <w:szCs w:val="22"/>
          <w:u w:val="single"/>
        </w:rPr>
      </w:pPr>
      <w:r w:rsidRPr="006F2B53">
        <w:rPr>
          <w:rFonts w:ascii="Helvetica" w:hAnsi="Helvetica" w:cs="Arial"/>
          <w:sz w:val="22"/>
          <w:szCs w:val="22"/>
          <w:u w:val="single"/>
        </w:rPr>
        <w:t>Bedrijfsgrootte</w:t>
      </w:r>
    </w:p>
    <w:p w14:paraId="4EC1FA3E" w14:textId="5A6BF385" w:rsidR="009F10A1" w:rsidRDefault="00ED6749" w:rsidP="009F10A1">
      <w:pPr>
        <w:rPr>
          <w:rFonts w:ascii="Helvetica" w:hAnsi="Helvetica" w:cs="Arial"/>
          <w:sz w:val="22"/>
          <w:szCs w:val="22"/>
        </w:rPr>
      </w:pPr>
      <w:r>
        <w:rPr>
          <w:rFonts w:ascii="Helvetica" w:hAnsi="Helvetica" w:cs="Arial"/>
          <w:sz w:val="22"/>
          <w:szCs w:val="22"/>
        </w:rPr>
        <w:t xml:space="preserve">De totale emissie bedraagt </w:t>
      </w:r>
      <w:r w:rsidR="00C46FB3">
        <w:rPr>
          <w:rFonts w:ascii="Helvetica" w:hAnsi="Helvetica" w:cs="Arial"/>
          <w:sz w:val="22"/>
          <w:szCs w:val="22"/>
        </w:rPr>
        <w:t>1.</w:t>
      </w:r>
      <w:r w:rsidR="00A767EC">
        <w:rPr>
          <w:rFonts w:ascii="Helvetica" w:hAnsi="Helvetica" w:cs="Arial"/>
          <w:sz w:val="22"/>
          <w:szCs w:val="22"/>
        </w:rPr>
        <w:t>133</w:t>
      </w:r>
      <w:r w:rsidR="008E7651">
        <w:rPr>
          <w:rFonts w:ascii="Helvetica" w:hAnsi="Helvetica" w:cs="Arial"/>
          <w:sz w:val="22"/>
          <w:szCs w:val="22"/>
        </w:rPr>
        <w:t>,</w:t>
      </w:r>
      <w:r w:rsidR="00A767EC">
        <w:rPr>
          <w:rFonts w:ascii="Helvetica" w:hAnsi="Helvetica" w:cs="Arial"/>
          <w:sz w:val="22"/>
          <w:szCs w:val="22"/>
        </w:rPr>
        <w:t>9</w:t>
      </w:r>
      <w:r>
        <w:rPr>
          <w:rFonts w:ascii="Helvetica" w:hAnsi="Helvetica" w:cs="Arial"/>
          <w:sz w:val="22"/>
          <w:szCs w:val="22"/>
        </w:rPr>
        <w:t xml:space="preserve"> ton</w:t>
      </w:r>
      <w:r w:rsidR="00847CEF">
        <w:rPr>
          <w:rFonts w:ascii="Helvetica" w:hAnsi="Helvetica" w:cs="Arial"/>
          <w:sz w:val="22"/>
          <w:szCs w:val="22"/>
        </w:rPr>
        <w:t xml:space="preserve">, waarvan </w:t>
      </w:r>
      <w:r w:rsidR="00A767EC">
        <w:rPr>
          <w:rFonts w:ascii="Helvetica" w:hAnsi="Helvetica" w:cs="Arial"/>
          <w:sz w:val="22"/>
          <w:szCs w:val="22"/>
        </w:rPr>
        <w:t>4</w:t>
      </w:r>
      <w:r w:rsidR="00CB137B">
        <w:rPr>
          <w:rFonts w:ascii="Helvetica" w:hAnsi="Helvetica" w:cs="Arial"/>
          <w:sz w:val="22"/>
          <w:szCs w:val="22"/>
        </w:rPr>
        <w:t>,</w:t>
      </w:r>
      <w:r w:rsidR="00A767EC">
        <w:rPr>
          <w:rFonts w:ascii="Helvetica" w:hAnsi="Helvetica" w:cs="Arial"/>
          <w:sz w:val="22"/>
          <w:szCs w:val="22"/>
        </w:rPr>
        <w:t>7</w:t>
      </w:r>
      <w:r w:rsidR="00847CEF">
        <w:rPr>
          <w:rFonts w:ascii="Helvetica" w:hAnsi="Helvetica" w:cs="Arial"/>
          <w:sz w:val="22"/>
          <w:szCs w:val="22"/>
        </w:rPr>
        <w:t xml:space="preserve"> ton kantoor en </w:t>
      </w:r>
      <w:r w:rsidR="00C46FB3">
        <w:rPr>
          <w:rFonts w:ascii="Helvetica" w:hAnsi="Helvetica" w:cs="Arial"/>
          <w:sz w:val="22"/>
          <w:szCs w:val="22"/>
        </w:rPr>
        <w:t>1.</w:t>
      </w:r>
      <w:r w:rsidR="00A767EC">
        <w:rPr>
          <w:rFonts w:ascii="Helvetica" w:hAnsi="Helvetica" w:cs="Arial"/>
          <w:sz w:val="22"/>
          <w:szCs w:val="22"/>
        </w:rPr>
        <w:t>129</w:t>
      </w:r>
      <w:r w:rsidR="008E7651">
        <w:rPr>
          <w:rFonts w:ascii="Helvetica" w:hAnsi="Helvetica" w:cs="Arial"/>
          <w:sz w:val="22"/>
          <w:szCs w:val="22"/>
        </w:rPr>
        <w:t>,</w:t>
      </w:r>
      <w:r w:rsidR="00A767EC">
        <w:rPr>
          <w:rFonts w:ascii="Helvetica" w:hAnsi="Helvetica" w:cs="Arial"/>
          <w:sz w:val="22"/>
          <w:szCs w:val="22"/>
        </w:rPr>
        <w:t>1</w:t>
      </w:r>
      <w:r w:rsidR="00847CEF">
        <w:rPr>
          <w:rFonts w:ascii="Helvetica" w:hAnsi="Helvetica" w:cs="Arial"/>
          <w:sz w:val="22"/>
          <w:szCs w:val="22"/>
        </w:rPr>
        <w:t xml:space="preserve"> ton voor werken</w:t>
      </w:r>
      <w:r>
        <w:rPr>
          <w:rFonts w:ascii="Helvetica" w:hAnsi="Helvetica" w:cs="Arial"/>
          <w:sz w:val="22"/>
          <w:szCs w:val="22"/>
        </w:rPr>
        <w:t xml:space="preserve">. De bijbehorende bedrijfsgrootte volgens de criteria van </w:t>
      </w:r>
      <w:r w:rsidR="005D0078">
        <w:rPr>
          <w:rFonts w:ascii="Helvetica" w:hAnsi="Helvetica" w:cs="Arial"/>
          <w:sz w:val="22"/>
          <w:szCs w:val="22"/>
        </w:rPr>
        <w:t>de tabel 4.1 van het handboek versie 3.</w:t>
      </w:r>
      <w:r w:rsidR="009457B1">
        <w:rPr>
          <w:rFonts w:ascii="Helvetica" w:hAnsi="Helvetica" w:cs="Arial"/>
          <w:sz w:val="22"/>
          <w:szCs w:val="22"/>
        </w:rPr>
        <w:t>1</w:t>
      </w:r>
      <w:r w:rsidR="005D0078">
        <w:rPr>
          <w:rFonts w:ascii="Helvetica" w:hAnsi="Helvetica" w:cs="Arial"/>
          <w:sz w:val="22"/>
          <w:szCs w:val="22"/>
        </w:rPr>
        <w:t xml:space="preserve"> CO</w:t>
      </w:r>
      <w:r w:rsidR="005D0078" w:rsidRPr="00A767EC">
        <w:rPr>
          <w:rFonts w:ascii="Helvetica" w:hAnsi="Helvetica" w:cs="Arial"/>
          <w:sz w:val="22"/>
          <w:szCs w:val="22"/>
          <w:vertAlign w:val="subscript"/>
        </w:rPr>
        <w:t>2</w:t>
      </w:r>
      <w:r w:rsidR="005D0078">
        <w:rPr>
          <w:rFonts w:ascii="Helvetica" w:hAnsi="Helvetica" w:cs="Arial"/>
          <w:sz w:val="22"/>
          <w:szCs w:val="22"/>
        </w:rPr>
        <w:t xml:space="preserve"> Prestatieladder</w:t>
      </w:r>
      <w:r>
        <w:rPr>
          <w:rFonts w:ascii="Helvetica" w:hAnsi="Helvetica" w:cs="Arial"/>
          <w:sz w:val="22"/>
          <w:szCs w:val="22"/>
        </w:rPr>
        <w:t xml:space="preserve"> is “Klein bedrijf”.</w:t>
      </w:r>
    </w:p>
    <w:p w14:paraId="02AA0EA5" w14:textId="77777777" w:rsidR="00ED6749" w:rsidRPr="006F2B53" w:rsidRDefault="00ED6749" w:rsidP="009F10A1">
      <w:pPr>
        <w:rPr>
          <w:rFonts w:ascii="Helvetica" w:hAnsi="Helvetica" w:cs="Arial"/>
          <w:sz w:val="22"/>
          <w:szCs w:val="22"/>
        </w:rPr>
      </w:pPr>
    </w:p>
    <w:p w14:paraId="5100758E" w14:textId="77777777" w:rsidR="001C22FF" w:rsidRPr="00ED6749" w:rsidRDefault="00ED6749" w:rsidP="009F10A1">
      <w:pPr>
        <w:rPr>
          <w:rFonts w:ascii="Helvetica" w:hAnsi="Helvetica" w:cs="Arial"/>
          <w:sz w:val="22"/>
          <w:szCs w:val="22"/>
          <w:u w:val="single"/>
        </w:rPr>
      </w:pPr>
      <w:r>
        <w:rPr>
          <w:rFonts w:ascii="Helvetica" w:hAnsi="Helvetica" w:cs="Arial"/>
          <w:sz w:val="22"/>
          <w:szCs w:val="22"/>
          <w:u w:val="single"/>
        </w:rPr>
        <w:t>V</w:t>
      </w:r>
      <w:r w:rsidR="001C22FF" w:rsidRPr="00ED6749">
        <w:rPr>
          <w:rFonts w:ascii="Helvetica" w:hAnsi="Helvetica" w:cs="Arial"/>
          <w:sz w:val="22"/>
          <w:szCs w:val="22"/>
          <w:u w:val="single"/>
        </w:rPr>
        <w:t>erificatie</w:t>
      </w:r>
    </w:p>
    <w:p w14:paraId="19AAA979" w14:textId="77777777" w:rsidR="009457B1" w:rsidRDefault="009457B1" w:rsidP="009B6157">
      <w:pPr>
        <w:rPr>
          <w:rFonts w:ascii="Helvetica" w:hAnsi="Helvetica" w:cs="Arial"/>
          <w:sz w:val="22"/>
          <w:szCs w:val="22"/>
        </w:rPr>
      </w:pPr>
      <w:r>
        <w:rPr>
          <w:rFonts w:ascii="Helvetica" w:hAnsi="Helvetica" w:cs="Arial"/>
          <w:sz w:val="22"/>
          <w:szCs w:val="22"/>
        </w:rPr>
        <w:t>De emissie inventaris zal door de certificerende instelling worden geverifieerd tijdens de externe audit.</w:t>
      </w:r>
    </w:p>
    <w:p w14:paraId="18B20A06" w14:textId="77777777" w:rsidR="006C6C8F" w:rsidRPr="00E5593D" w:rsidRDefault="006C6C8F" w:rsidP="009B6157">
      <w:pPr>
        <w:rPr>
          <w:rFonts w:ascii="Helvetica" w:hAnsi="Helvetica" w:cs="Arial"/>
          <w:b/>
          <w:bCs/>
          <w:sz w:val="22"/>
          <w:szCs w:val="22"/>
        </w:rPr>
      </w:pPr>
    </w:p>
    <w:p w14:paraId="42092A66" w14:textId="349F3CD4" w:rsidR="006C6C8F" w:rsidRPr="00E5593D" w:rsidRDefault="006C6C8F" w:rsidP="009B6157">
      <w:pPr>
        <w:rPr>
          <w:rFonts w:ascii="Helvetica" w:hAnsi="Helvetica" w:cs="Arial"/>
          <w:sz w:val="22"/>
          <w:szCs w:val="22"/>
          <w:u w:val="single"/>
        </w:rPr>
      </w:pPr>
      <w:r w:rsidRPr="00E5593D">
        <w:rPr>
          <w:rFonts w:ascii="Helvetica" w:hAnsi="Helvetica" w:cs="Arial"/>
          <w:sz w:val="22"/>
          <w:szCs w:val="22"/>
          <w:u w:val="single"/>
        </w:rPr>
        <w:t>Project met gunningsvoordeel</w:t>
      </w:r>
    </w:p>
    <w:p w14:paraId="3E2EE4F9" w14:textId="7F3C91A8" w:rsidR="006C6C8F" w:rsidRDefault="006C6C8F" w:rsidP="009B6157">
      <w:pPr>
        <w:rPr>
          <w:rFonts w:ascii="Helvetica" w:hAnsi="Helvetica" w:cs="Arial"/>
          <w:sz w:val="22"/>
          <w:szCs w:val="22"/>
        </w:rPr>
      </w:pPr>
      <w:r>
        <w:rPr>
          <w:rFonts w:ascii="Helvetica" w:hAnsi="Helvetica" w:cs="Arial"/>
          <w:sz w:val="22"/>
          <w:szCs w:val="22"/>
        </w:rPr>
        <w:t>In januari 2023 is een project met gunningsvoordeel aangenomen. Het betreft een baggerwerk in opdracht van waterschap HHNK.</w:t>
      </w:r>
    </w:p>
    <w:p w14:paraId="70B2B0BB" w14:textId="0E3A6506" w:rsidR="006C6C8F" w:rsidRDefault="006C6C8F" w:rsidP="009B6157">
      <w:pPr>
        <w:rPr>
          <w:rFonts w:ascii="Helvetica" w:hAnsi="Helvetica" w:cs="Arial"/>
          <w:sz w:val="22"/>
          <w:szCs w:val="22"/>
        </w:rPr>
      </w:pPr>
      <w:r>
        <w:rPr>
          <w:rFonts w:ascii="Helvetica" w:hAnsi="Helvetica" w:cs="Arial"/>
          <w:sz w:val="22"/>
          <w:szCs w:val="22"/>
        </w:rPr>
        <w:t xml:space="preserve">In het voorjaar 2023 is gestart met de uitvoering. Er is een projectdossier samengesteld met informatie over de verwachte emissie, de beoogde maatregelen en </w:t>
      </w:r>
      <w:r w:rsidR="00E5593D">
        <w:rPr>
          <w:rFonts w:ascii="Helvetica" w:hAnsi="Helvetica" w:cs="Arial"/>
          <w:sz w:val="22"/>
          <w:szCs w:val="22"/>
        </w:rPr>
        <w:t>de communicatie.</w:t>
      </w:r>
    </w:p>
    <w:p w14:paraId="17567F49" w14:textId="1274CF6E" w:rsidR="00E5593D" w:rsidRDefault="00E5593D" w:rsidP="009B6157">
      <w:pPr>
        <w:rPr>
          <w:rFonts w:ascii="Helvetica" w:hAnsi="Helvetica" w:cs="Arial"/>
          <w:sz w:val="22"/>
          <w:szCs w:val="22"/>
        </w:rPr>
      </w:pPr>
      <w:r>
        <w:rPr>
          <w:rFonts w:ascii="Helvetica" w:hAnsi="Helvetica" w:cs="Arial"/>
          <w:sz w:val="22"/>
          <w:szCs w:val="22"/>
        </w:rPr>
        <w:t>De ingeschatte CO</w:t>
      </w:r>
      <w:r w:rsidRPr="00E5593D">
        <w:rPr>
          <w:rFonts w:ascii="Helvetica" w:hAnsi="Helvetica" w:cs="Arial"/>
          <w:sz w:val="22"/>
          <w:szCs w:val="22"/>
          <w:vertAlign w:val="subscript"/>
        </w:rPr>
        <w:t>2</w:t>
      </w:r>
      <w:r>
        <w:rPr>
          <w:rFonts w:ascii="Helvetica" w:hAnsi="Helvetica" w:cs="Arial"/>
          <w:sz w:val="22"/>
          <w:szCs w:val="22"/>
        </w:rPr>
        <w:t xml:space="preserve"> emissie bedraagt 35,2 ton. </w:t>
      </w:r>
    </w:p>
    <w:p w14:paraId="75523352" w14:textId="62530329" w:rsidR="00E5593D" w:rsidRDefault="00E5593D" w:rsidP="009B6157">
      <w:pPr>
        <w:rPr>
          <w:rFonts w:ascii="Helvetica" w:hAnsi="Helvetica" w:cs="Arial"/>
          <w:sz w:val="22"/>
          <w:szCs w:val="22"/>
        </w:rPr>
      </w:pPr>
      <w:r>
        <w:rPr>
          <w:rFonts w:ascii="Helvetica" w:hAnsi="Helvetica" w:cs="Arial"/>
          <w:sz w:val="22"/>
          <w:szCs w:val="22"/>
        </w:rPr>
        <w:lastRenderedPageBreak/>
        <w:t>Er zijn maatregelen gepland, waarvan de belangrijkste is de toepassing van HVO 100 is.</w:t>
      </w:r>
    </w:p>
    <w:p w14:paraId="00F5E79F" w14:textId="1F2FF09E" w:rsidR="00E5593D" w:rsidRDefault="00E5593D" w:rsidP="009B6157">
      <w:pPr>
        <w:rPr>
          <w:rFonts w:ascii="Helvetica" w:hAnsi="Helvetica" w:cs="Arial"/>
          <w:sz w:val="22"/>
          <w:szCs w:val="22"/>
        </w:rPr>
      </w:pPr>
      <w:r>
        <w:rPr>
          <w:rFonts w:ascii="Helvetica" w:hAnsi="Helvetica" w:cs="Arial"/>
          <w:sz w:val="22"/>
          <w:szCs w:val="22"/>
        </w:rPr>
        <w:t>Totaal verwachten we ruim 90% CO2 te reduceren.</w:t>
      </w:r>
    </w:p>
    <w:p w14:paraId="512A9402" w14:textId="489A6DB8" w:rsidR="00E5593D" w:rsidRDefault="00E5593D" w:rsidP="009B6157">
      <w:pPr>
        <w:rPr>
          <w:rFonts w:ascii="Helvetica" w:hAnsi="Helvetica" w:cs="Arial"/>
          <w:sz w:val="22"/>
          <w:szCs w:val="22"/>
        </w:rPr>
      </w:pPr>
      <w:r>
        <w:rPr>
          <w:rFonts w:ascii="Helvetica" w:hAnsi="Helvetica" w:cs="Arial"/>
          <w:sz w:val="22"/>
          <w:szCs w:val="22"/>
        </w:rPr>
        <w:t xml:space="preserve">Met medewerkers en opdrachtgever communiceren wij over de voortgang en de beoogde resultaten via </w:t>
      </w:r>
      <w:proofErr w:type="spellStart"/>
      <w:r>
        <w:rPr>
          <w:rFonts w:ascii="Helvetica" w:hAnsi="Helvetica" w:cs="Arial"/>
          <w:sz w:val="22"/>
          <w:szCs w:val="22"/>
        </w:rPr>
        <w:t>toolboxmeetings</w:t>
      </w:r>
      <w:proofErr w:type="spellEnd"/>
      <w:r>
        <w:rPr>
          <w:rFonts w:ascii="Helvetica" w:hAnsi="Helvetica" w:cs="Arial"/>
          <w:sz w:val="22"/>
          <w:szCs w:val="22"/>
        </w:rPr>
        <w:t xml:space="preserve"> en bouwvergaderingen.</w:t>
      </w:r>
      <w:r w:rsidR="00C90247">
        <w:rPr>
          <w:rFonts w:ascii="Helvetica" w:hAnsi="Helvetica" w:cs="Arial"/>
          <w:sz w:val="22"/>
          <w:szCs w:val="22"/>
        </w:rPr>
        <w:t xml:space="preserve"> De projectrapportage zal februari 2024 afgerond worden. Het ziet ernaar uit dat de totale emissie niet meer dan 3,5 ton CO</w:t>
      </w:r>
      <w:r w:rsidR="00C90247" w:rsidRPr="00C90247">
        <w:rPr>
          <w:rFonts w:ascii="Helvetica" w:hAnsi="Helvetica" w:cs="Arial"/>
          <w:sz w:val="22"/>
          <w:szCs w:val="22"/>
          <w:vertAlign w:val="subscript"/>
        </w:rPr>
        <w:t>2</w:t>
      </w:r>
      <w:r w:rsidR="00C90247">
        <w:rPr>
          <w:rFonts w:ascii="Helvetica" w:hAnsi="Helvetica" w:cs="Arial"/>
          <w:sz w:val="22"/>
          <w:szCs w:val="22"/>
        </w:rPr>
        <w:t xml:space="preserve"> zal bedragen.</w:t>
      </w:r>
    </w:p>
    <w:p w14:paraId="43344C1E" w14:textId="77777777" w:rsidR="00ED6749" w:rsidRPr="00310475" w:rsidRDefault="00ED6749" w:rsidP="009F10A1">
      <w:pPr>
        <w:rPr>
          <w:rFonts w:ascii="Helvetica" w:hAnsi="Helvetica" w:cs="Arial"/>
        </w:rPr>
      </w:pPr>
    </w:p>
    <w:p w14:paraId="4858E77A" w14:textId="77777777" w:rsidR="009F10A1" w:rsidRPr="001C6D23" w:rsidRDefault="009F10A1" w:rsidP="001C6D23">
      <w:pPr>
        <w:pStyle w:val="Kop2"/>
        <w:spacing w:before="0" w:after="0" w:line="240" w:lineRule="auto"/>
        <w:rPr>
          <w:rFonts w:ascii="Helvetica" w:hAnsi="Helvetica"/>
          <w:b/>
        </w:rPr>
      </w:pPr>
      <w:bookmarkStart w:id="25" w:name="_Toc280352955"/>
      <w:bookmarkStart w:id="26" w:name="_Toc298250970"/>
      <w:bookmarkStart w:id="27" w:name="_Toc327715422"/>
      <w:bookmarkStart w:id="28" w:name="_Toc327715962"/>
      <w:r w:rsidRPr="001C6D23">
        <w:rPr>
          <w:rFonts w:ascii="Helvetica" w:hAnsi="Helvetica"/>
          <w:b/>
        </w:rPr>
        <w:t>Verbranding biomassa</w:t>
      </w:r>
      <w:bookmarkEnd w:id="25"/>
      <w:bookmarkEnd w:id="26"/>
      <w:bookmarkEnd w:id="27"/>
      <w:bookmarkEnd w:id="28"/>
    </w:p>
    <w:p w14:paraId="15B4FF3A" w14:textId="65BAA3B3" w:rsidR="009F10A1" w:rsidRPr="001C6D23" w:rsidRDefault="009F10A1" w:rsidP="009F10A1">
      <w:pPr>
        <w:rPr>
          <w:rFonts w:ascii="Helvetica" w:hAnsi="Helvetica"/>
          <w:sz w:val="22"/>
          <w:szCs w:val="22"/>
        </w:rPr>
      </w:pPr>
      <w:r w:rsidRPr="001C6D23">
        <w:rPr>
          <w:rFonts w:ascii="Helvetica" w:hAnsi="Helvetica"/>
          <w:sz w:val="22"/>
          <w:szCs w:val="22"/>
        </w:rPr>
        <w:t>Verbranding van biomassa vond niet plaats in 20</w:t>
      </w:r>
      <w:r w:rsidR="009457B1">
        <w:rPr>
          <w:rFonts w:ascii="Helvetica" w:hAnsi="Helvetica"/>
          <w:sz w:val="22"/>
          <w:szCs w:val="22"/>
        </w:rPr>
        <w:t>2</w:t>
      </w:r>
      <w:r w:rsidR="00A767EC">
        <w:rPr>
          <w:rFonts w:ascii="Helvetica" w:hAnsi="Helvetica"/>
          <w:sz w:val="22"/>
          <w:szCs w:val="22"/>
        </w:rPr>
        <w:t>3</w:t>
      </w:r>
      <w:r w:rsidRPr="001C6D23">
        <w:rPr>
          <w:rFonts w:ascii="Helvetica" w:hAnsi="Helvetica"/>
          <w:sz w:val="22"/>
          <w:szCs w:val="22"/>
        </w:rPr>
        <w:t>.</w:t>
      </w:r>
    </w:p>
    <w:p w14:paraId="5BB0079F" w14:textId="77777777" w:rsidR="009F10A1" w:rsidRPr="001C6D23" w:rsidRDefault="009F10A1" w:rsidP="001C6D23">
      <w:pPr>
        <w:pStyle w:val="Kop2"/>
        <w:spacing w:before="0" w:after="0" w:line="240" w:lineRule="auto"/>
        <w:rPr>
          <w:rFonts w:ascii="Helvetica" w:hAnsi="Helvetica"/>
          <w:b/>
        </w:rPr>
      </w:pPr>
      <w:bookmarkStart w:id="29" w:name="_Toc280352956"/>
      <w:bookmarkStart w:id="30" w:name="_Toc298250971"/>
      <w:bookmarkStart w:id="31" w:name="_Toc327715423"/>
      <w:bookmarkStart w:id="32" w:name="_Toc327715963"/>
      <w:r w:rsidRPr="001C6D23">
        <w:rPr>
          <w:rFonts w:ascii="Helvetica" w:hAnsi="Helvetica"/>
          <w:b/>
        </w:rPr>
        <w:t>GHG verwijderingen</w:t>
      </w:r>
      <w:bookmarkEnd w:id="29"/>
      <w:bookmarkEnd w:id="30"/>
      <w:bookmarkEnd w:id="31"/>
      <w:bookmarkEnd w:id="32"/>
    </w:p>
    <w:p w14:paraId="0B213768" w14:textId="277B79B9" w:rsidR="009F10A1" w:rsidRDefault="009F10A1" w:rsidP="009F10A1">
      <w:pPr>
        <w:rPr>
          <w:rFonts w:ascii="Helvetica" w:hAnsi="Helvetica"/>
          <w:sz w:val="22"/>
          <w:szCs w:val="22"/>
        </w:rPr>
      </w:pPr>
      <w:r w:rsidRPr="001C6D23">
        <w:rPr>
          <w:rFonts w:ascii="Helvetica" w:hAnsi="Helvetica"/>
          <w:sz w:val="22"/>
          <w:szCs w:val="22"/>
        </w:rPr>
        <w:t>Er heeft geen broeikasgasverwijdering of compensatie plaats gevonden in 20</w:t>
      </w:r>
      <w:r w:rsidR="009457B1">
        <w:rPr>
          <w:rFonts w:ascii="Helvetica" w:hAnsi="Helvetica"/>
          <w:sz w:val="22"/>
          <w:szCs w:val="22"/>
        </w:rPr>
        <w:t>2</w:t>
      </w:r>
      <w:r w:rsidR="00A767EC">
        <w:rPr>
          <w:rFonts w:ascii="Helvetica" w:hAnsi="Helvetica"/>
          <w:sz w:val="22"/>
          <w:szCs w:val="22"/>
        </w:rPr>
        <w:t>3</w:t>
      </w:r>
      <w:r w:rsidRPr="001C6D23">
        <w:rPr>
          <w:rFonts w:ascii="Helvetica" w:hAnsi="Helvetica"/>
          <w:sz w:val="22"/>
          <w:szCs w:val="22"/>
        </w:rPr>
        <w:t>.</w:t>
      </w:r>
    </w:p>
    <w:p w14:paraId="14573FB0" w14:textId="77777777" w:rsidR="009F10A1" w:rsidRDefault="009F10A1" w:rsidP="001C6D23">
      <w:pPr>
        <w:pStyle w:val="Kop2"/>
        <w:spacing w:before="0" w:after="0" w:line="240" w:lineRule="auto"/>
        <w:rPr>
          <w:rFonts w:ascii="Helvetica" w:hAnsi="Helvetica"/>
          <w:b/>
        </w:rPr>
      </w:pPr>
      <w:bookmarkStart w:id="33" w:name="_Toc280352957"/>
      <w:bookmarkStart w:id="34" w:name="_Toc298250972"/>
      <w:bookmarkStart w:id="35" w:name="_Toc327715424"/>
      <w:bookmarkStart w:id="36" w:name="_Toc327715964"/>
      <w:r w:rsidRPr="001C6D23">
        <w:rPr>
          <w:rFonts w:ascii="Helvetica" w:hAnsi="Helvetica"/>
          <w:b/>
        </w:rPr>
        <w:t>Uitzonderingen</w:t>
      </w:r>
      <w:bookmarkEnd w:id="33"/>
      <w:bookmarkEnd w:id="34"/>
      <w:bookmarkEnd w:id="35"/>
      <w:bookmarkEnd w:id="36"/>
    </w:p>
    <w:p w14:paraId="72331189" w14:textId="77777777" w:rsidR="009F10A1" w:rsidRDefault="009F10A1" w:rsidP="009F10A1">
      <w:pPr>
        <w:rPr>
          <w:rFonts w:ascii="Helvetica" w:hAnsi="Helvetica"/>
          <w:sz w:val="22"/>
          <w:szCs w:val="22"/>
        </w:rPr>
      </w:pPr>
      <w:r w:rsidRPr="001C6D23">
        <w:rPr>
          <w:rFonts w:ascii="Helvetica" w:hAnsi="Helvetica"/>
          <w:sz w:val="22"/>
          <w:szCs w:val="22"/>
        </w:rPr>
        <w:t>Er zijn geen noemenswaardige uitzonderingen te noemen op het GHG protocol.</w:t>
      </w:r>
    </w:p>
    <w:p w14:paraId="2C34A35D" w14:textId="77777777" w:rsidR="009F10A1" w:rsidRPr="001C6D23" w:rsidRDefault="009F10A1" w:rsidP="001C6D23">
      <w:pPr>
        <w:pStyle w:val="Kop2"/>
        <w:spacing w:before="0" w:after="0" w:line="240" w:lineRule="auto"/>
        <w:rPr>
          <w:rFonts w:ascii="Helvetica" w:hAnsi="Helvetica"/>
          <w:b/>
        </w:rPr>
      </w:pPr>
      <w:bookmarkStart w:id="37" w:name="_Toc280352958"/>
      <w:bookmarkStart w:id="38" w:name="_Toc298250973"/>
      <w:bookmarkStart w:id="39" w:name="_Toc327715425"/>
      <w:bookmarkStart w:id="40" w:name="_Toc327715965"/>
      <w:r w:rsidRPr="001C6D23">
        <w:rPr>
          <w:rFonts w:ascii="Helvetica" w:hAnsi="Helvetica"/>
          <w:b/>
        </w:rPr>
        <w:t xml:space="preserve">Belangrijkste </w:t>
      </w:r>
      <w:proofErr w:type="spellStart"/>
      <w:r w:rsidRPr="001C6D23">
        <w:rPr>
          <w:rFonts w:ascii="Helvetica" w:hAnsi="Helvetica"/>
          <w:b/>
        </w:rPr>
        <w:t>beïnvloeders</w:t>
      </w:r>
      <w:bookmarkEnd w:id="37"/>
      <w:bookmarkEnd w:id="38"/>
      <w:bookmarkEnd w:id="39"/>
      <w:bookmarkEnd w:id="40"/>
      <w:proofErr w:type="spellEnd"/>
    </w:p>
    <w:p w14:paraId="7A6C0484" w14:textId="77777777" w:rsidR="009F10A1" w:rsidRPr="001C6D23" w:rsidRDefault="009F10A1" w:rsidP="009F10A1">
      <w:pPr>
        <w:rPr>
          <w:rFonts w:ascii="Helvetica" w:hAnsi="Helvetica"/>
          <w:sz w:val="22"/>
          <w:szCs w:val="22"/>
        </w:rPr>
      </w:pPr>
      <w:r w:rsidRPr="001C6D23">
        <w:rPr>
          <w:rFonts w:ascii="Helvetica" w:hAnsi="Helvetica"/>
          <w:sz w:val="22"/>
          <w:szCs w:val="22"/>
        </w:rPr>
        <w:t xml:space="preserve">Binnen </w:t>
      </w:r>
      <w:r w:rsidR="002B2C8A">
        <w:rPr>
          <w:rFonts w:ascii="Helvetica" w:hAnsi="Helvetica" w:cs="Arial"/>
          <w:sz w:val="22"/>
          <w:szCs w:val="22"/>
        </w:rPr>
        <w:t xml:space="preserve">Van Diepen BV </w:t>
      </w:r>
      <w:r w:rsidR="002B2C8A" w:rsidRPr="001C6D23">
        <w:rPr>
          <w:rFonts w:ascii="Helvetica" w:hAnsi="Helvetica" w:cs="Arial"/>
          <w:i/>
          <w:sz w:val="22"/>
          <w:szCs w:val="22"/>
        </w:rPr>
        <w:t xml:space="preserve"> </w:t>
      </w:r>
      <w:r w:rsidRPr="001C6D23">
        <w:rPr>
          <w:rFonts w:ascii="Helvetica" w:hAnsi="Helvetica"/>
          <w:sz w:val="22"/>
          <w:szCs w:val="22"/>
        </w:rPr>
        <w:t>zijn geen individuele personen die een dermate invloed op de CO</w:t>
      </w:r>
      <w:r w:rsidRPr="001C6D23">
        <w:rPr>
          <w:rFonts w:ascii="Helvetica" w:hAnsi="Helvetica"/>
          <w:sz w:val="22"/>
          <w:szCs w:val="22"/>
          <w:vertAlign w:val="subscript"/>
        </w:rPr>
        <w:t>2</w:t>
      </w:r>
      <w:r w:rsidRPr="001C6D23">
        <w:rPr>
          <w:rFonts w:ascii="Helvetica" w:hAnsi="Helvetica"/>
          <w:sz w:val="22"/>
          <w:szCs w:val="22"/>
        </w:rPr>
        <w:t xml:space="preserve"> footprint hebben dat gedragsverandering van deze individuele persoon alleen al zou zorgen voor een significante verandering in de CO</w:t>
      </w:r>
      <w:r w:rsidRPr="001C6D23">
        <w:rPr>
          <w:rFonts w:ascii="Helvetica" w:hAnsi="Helvetica"/>
          <w:sz w:val="22"/>
          <w:szCs w:val="22"/>
          <w:vertAlign w:val="subscript"/>
        </w:rPr>
        <w:t>2</w:t>
      </w:r>
      <w:r w:rsidRPr="001C6D23">
        <w:rPr>
          <w:rFonts w:ascii="Helvetica" w:hAnsi="Helvetica"/>
          <w:sz w:val="22"/>
          <w:szCs w:val="22"/>
        </w:rPr>
        <w:t xml:space="preserve"> footprint.</w:t>
      </w:r>
    </w:p>
    <w:p w14:paraId="1CF64513" w14:textId="77777777" w:rsidR="00FA3B66" w:rsidRPr="00310475" w:rsidRDefault="00FA3B66" w:rsidP="009F10A1">
      <w:pPr>
        <w:rPr>
          <w:rFonts w:ascii="Helvetica" w:hAnsi="Helvetica"/>
        </w:rPr>
      </w:pPr>
    </w:p>
    <w:p w14:paraId="2EC4ACF7" w14:textId="77777777" w:rsidR="009F10A1" w:rsidRPr="001C6D23" w:rsidRDefault="009F10A1" w:rsidP="001C6D23">
      <w:pPr>
        <w:pStyle w:val="Kop2"/>
        <w:spacing w:before="0" w:after="0" w:line="240" w:lineRule="auto"/>
        <w:rPr>
          <w:rFonts w:ascii="Helvetica" w:hAnsi="Helvetica"/>
          <w:b/>
        </w:rPr>
      </w:pPr>
      <w:bookmarkStart w:id="41" w:name="_Toc280352959"/>
      <w:bookmarkStart w:id="42" w:name="_Toc298250974"/>
      <w:bookmarkStart w:id="43" w:name="_Toc327715426"/>
      <w:bookmarkStart w:id="44" w:name="_Toc327715966"/>
      <w:r w:rsidRPr="001C6D23">
        <w:rPr>
          <w:rFonts w:ascii="Helvetica" w:hAnsi="Helvetica"/>
          <w:b/>
        </w:rPr>
        <w:t>Toekomst</w:t>
      </w:r>
      <w:bookmarkEnd w:id="41"/>
      <w:bookmarkEnd w:id="42"/>
      <w:bookmarkEnd w:id="43"/>
      <w:bookmarkEnd w:id="44"/>
    </w:p>
    <w:p w14:paraId="4A2C4903" w14:textId="519C4318" w:rsidR="00D5595D" w:rsidRPr="001C6D23" w:rsidRDefault="009F10A1" w:rsidP="009F10A1">
      <w:pPr>
        <w:rPr>
          <w:rFonts w:ascii="Helvetica" w:hAnsi="Helvetica"/>
          <w:sz w:val="22"/>
          <w:szCs w:val="22"/>
        </w:rPr>
      </w:pPr>
      <w:r w:rsidRPr="001C6D23">
        <w:rPr>
          <w:rFonts w:ascii="Helvetica" w:hAnsi="Helvetica"/>
          <w:sz w:val="22"/>
          <w:szCs w:val="22"/>
        </w:rPr>
        <w:t>De emissie in de paragrafen hierboven zijn vastgesteld voor het jaar 20</w:t>
      </w:r>
      <w:r w:rsidR="009457B1">
        <w:rPr>
          <w:rFonts w:ascii="Helvetica" w:hAnsi="Helvetica"/>
          <w:sz w:val="22"/>
          <w:szCs w:val="22"/>
        </w:rPr>
        <w:t>2</w:t>
      </w:r>
      <w:r w:rsidR="0097183E">
        <w:rPr>
          <w:rFonts w:ascii="Helvetica" w:hAnsi="Helvetica"/>
          <w:sz w:val="22"/>
          <w:szCs w:val="22"/>
        </w:rPr>
        <w:t>3</w:t>
      </w:r>
      <w:r w:rsidRPr="001C6D23">
        <w:rPr>
          <w:rFonts w:ascii="Helvetica" w:hAnsi="Helvetica"/>
          <w:sz w:val="22"/>
          <w:szCs w:val="22"/>
        </w:rPr>
        <w:t xml:space="preserve">. De verwachting is dat deze </w:t>
      </w:r>
      <w:r w:rsidR="0079014A">
        <w:rPr>
          <w:rFonts w:ascii="Helvetica" w:hAnsi="Helvetica"/>
          <w:sz w:val="22"/>
          <w:szCs w:val="22"/>
        </w:rPr>
        <w:t>emissie in het komende jaar</w:t>
      </w:r>
      <w:r w:rsidRPr="001C6D23">
        <w:rPr>
          <w:rFonts w:ascii="Helvetica" w:hAnsi="Helvetica"/>
          <w:sz w:val="22"/>
          <w:szCs w:val="22"/>
        </w:rPr>
        <w:t xml:space="preserve"> niet aan grote verandering onderhevig zal zijn. Wel zal, gezien de doelstellingen van </w:t>
      </w:r>
      <w:proofErr w:type="spellStart"/>
      <w:r w:rsidR="00F17D3B">
        <w:rPr>
          <w:rFonts w:ascii="Helvetica" w:hAnsi="Helvetica" w:cs="Arial"/>
          <w:sz w:val="22"/>
          <w:szCs w:val="22"/>
        </w:rPr>
        <w:t>Van</w:t>
      </w:r>
      <w:proofErr w:type="spellEnd"/>
      <w:r w:rsidR="00F17D3B">
        <w:rPr>
          <w:rFonts w:ascii="Helvetica" w:hAnsi="Helvetica" w:cs="Arial"/>
          <w:sz w:val="22"/>
          <w:szCs w:val="22"/>
        </w:rPr>
        <w:t xml:space="preserve"> Diepen</w:t>
      </w:r>
      <w:r w:rsidRPr="001C6D23">
        <w:rPr>
          <w:rFonts w:ascii="Helvetica" w:hAnsi="Helvetica"/>
          <w:sz w:val="22"/>
          <w:szCs w:val="22"/>
        </w:rPr>
        <w:t>, de CO</w:t>
      </w:r>
      <w:r w:rsidRPr="001C6D23">
        <w:rPr>
          <w:rFonts w:ascii="Helvetica" w:hAnsi="Helvetica"/>
          <w:sz w:val="22"/>
          <w:szCs w:val="22"/>
          <w:vertAlign w:val="subscript"/>
        </w:rPr>
        <w:t>2</w:t>
      </w:r>
      <w:r w:rsidRPr="001C6D23">
        <w:rPr>
          <w:rFonts w:ascii="Helvetica" w:hAnsi="Helvetica"/>
          <w:sz w:val="22"/>
          <w:szCs w:val="22"/>
        </w:rPr>
        <w:t xml:space="preserve"> uitstoot </w:t>
      </w:r>
      <w:r w:rsidR="00AE4379">
        <w:rPr>
          <w:rFonts w:ascii="Helvetica" w:hAnsi="Helvetica"/>
          <w:sz w:val="22"/>
          <w:szCs w:val="22"/>
        </w:rPr>
        <w:t>in 20</w:t>
      </w:r>
      <w:r w:rsidR="005D0078">
        <w:rPr>
          <w:rFonts w:ascii="Helvetica" w:hAnsi="Helvetica"/>
          <w:sz w:val="22"/>
          <w:szCs w:val="22"/>
        </w:rPr>
        <w:t>2</w:t>
      </w:r>
      <w:r w:rsidR="00372A8F">
        <w:rPr>
          <w:rFonts w:ascii="Helvetica" w:hAnsi="Helvetica"/>
          <w:sz w:val="22"/>
          <w:szCs w:val="22"/>
        </w:rPr>
        <w:t>4</w:t>
      </w:r>
      <w:r w:rsidR="00AE4379">
        <w:rPr>
          <w:rFonts w:ascii="Helvetica" w:hAnsi="Helvetica"/>
          <w:sz w:val="22"/>
          <w:szCs w:val="22"/>
        </w:rPr>
        <w:t xml:space="preserve"> </w:t>
      </w:r>
      <w:r w:rsidRPr="001C6D23">
        <w:rPr>
          <w:rFonts w:ascii="Helvetica" w:hAnsi="Helvetica"/>
          <w:sz w:val="22"/>
          <w:szCs w:val="22"/>
        </w:rPr>
        <w:t xml:space="preserve">met </w:t>
      </w:r>
      <w:r w:rsidR="0079014A">
        <w:rPr>
          <w:rFonts w:ascii="Helvetica" w:hAnsi="Helvetica"/>
          <w:sz w:val="22"/>
          <w:szCs w:val="22"/>
        </w:rPr>
        <w:t>1</w:t>
      </w:r>
      <w:r w:rsidRPr="001C6D23">
        <w:rPr>
          <w:rFonts w:ascii="Helvetica" w:hAnsi="Helvetica"/>
          <w:i/>
          <w:sz w:val="22"/>
          <w:szCs w:val="22"/>
        </w:rPr>
        <w:t>%</w:t>
      </w:r>
      <w:r w:rsidRPr="001C6D23">
        <w:rPr>
          <w:rFonts w:ascii="Helvetica" w:hAnsi="Helvetica"/>
          <w:sz w:val="22"/>
          <w:szCs w:val="22"/>
        </w:rPr>
        <w:t xml:space="preserve"> </w:t>
      </w:r>
      <w:r w:rsidR="00AE4379">
        <w:rPr>
          <w:rFonts w:ascii="Helvetica" w:hAnsi="Helvetica"/>
          <w:sz w:val="22"/>
          <w:szCs w:val="22"/>
        </w:rPr>
        <w:t>gedaald zijn</w:t>
      </w:r>
      <w:r w:rsidR="0079014A">
        <w:rPr>
          <w:rFonts w:ascii="Helvetica" w:hAnsi="Helvetica"/>
          <w:sz w:val="22"/>
          <w:szCs w:val="22"/>
        </w:rPr>
        <w:t xml:space="preserve"> ten opzichte van 20</w:t>
      </w:r>
      <w:r w:rsidR="009457B1">
        <w:rPr>
          <w:rFonts w:ascii="Helvetica" w:hAnsi="Helvetica"/>
          <w:sz w:val="22"/>
          <w:szCs w:val="22"/>
        </w:rPr>
        <w:t>2</w:t>
      </w:r>
      <w:r w:rsidR="005E7C51">
        <w:rPr>
          <w:rFonts w:ascii="Helvetica" w:hAnsi="Helvetica"/>
          <w:sz w:val="22"/>
          <w:szCs w:val="22"/>
        </w:rPr>
        <w:t>2</w:t>
      </w:r>
      <w:r w:rsidRPr="001C6D23">
        <w:rPr>
          <w:rFonts w:ascii="Helvetica" w:hAnsi="Helvetica"/>
          <w:sz w:val="22"/>
          <w:szCs w:val="22"/>
        </w:rPr>
        <w:t xml:space="preserve"> </w:t>
      </w:r>
      <w:r w:rsidR="00D5595D">
        <w:rPr>
          <w:rFonts w:ascii="Helvetica" w:hAnsi="Helvetica"/>
          <w:sz w:val="22"/>
          <w:szCs w:val="22"/>
        </w:rPr>
        <w:t xml:space="preserve">De reductie wordt gerelateerd aan </w:t>
      </w:r>
      <w:r w:rsidR="00F17D3B">
        <w:rPr>
          <w:rFonts w:ascii="Helvetica" w:hAnsi="Helvetica"/>
          <w:sz w:val="22"/>
          <w:szCs w:val="22"/>
        </w:rPr>
        <w:t>het aantal FTE</w:t>
      </w:r>
      <w:r w:rsidR="0079014A">
        <w:rPr>
          <w:rFonts w:ascii="Helvetica" w:hAnsi="Helvetica"/>
          <w:sz w:val="22"/>
          <w:szCs w:val="22"/>
        </w:rPr>
        <w:t xml:space="preserve"> (intern) </w:t>
      </w:r>
      <w:r w:rsidR="00F17D3B">
        <w:rPr>
          <w:rFonts w:ascii="Helvetica" w:hAnsi="Helvetica"/>
          <w:sz w:val="22"/>
          <w:szCs w:val="22"/>
        </w:rPr>
        <w:t xml:space="preserve">en </w:t>
      </w:r>
      <w:r w:rsidR="00C46FB3">
        <w:rPr>
          <w:rFonts w:ascii="Helvetica" w:hAnsi="Helvetica"/>
          <w:sz w:val="22"/>
          <w:szCs w:val="22"/>
        </w:rPr>
        <w:t xml:space="preserve">aan </w:t>
      </w:r>
      <w:r w:rsidR="00D5595D">
        <w:rPr>
          <w:rFonts w:ascii="Helvetica" w:hAnsi="Helvetica"/>
          <w:sz w:val="22"/>
          <w:szCs w:val="22"/>
        </w:rPr>
        <w:t>de brutomarge.</w:t>
      </w:r>
    </w:p>
    <w:p w14:paraId="1FF9C44B" w14:textId="77777777" w:rsidR="00FA3B66" w:rsidRDefault="00FA3B66" w:rsidP="009F10A1">
      <w:pPr>
        <w:rPr>
          <w:rFonts w:ascii="Helvetica" w:hAnsi="Helvetica"/>
        </w:rPr>
      </w:pPr>
    </w:p>
    <w:p w14:paraId="4BEC40AB" w14:textId="77777777" w:rsidR="009F10A1" w:rsidRPr="001C6D23" w:rsidRDefault="001C6D23" w:rsidP="001C6D23">
      <w:pPr>
        <w:pStyle w:val="Kop2"/>
        <w:spacing w:before="0" w:after="0" w:line="240" w:lineRule="auto"/>
        <w:rPr>
          <w:rFonts w:ascii="Helvetica" w:hAnsi="Helvetica"/>
          <w:b/>
        </w:rPr>
      </w:pPr>
      <w:bookmarkStart w:id="45" w:name="_Toc298250975"/>
      <w:bookmarkStart w:id="46" w:name="_Toc327715427"/>
      <w:bookmarkStart w:id="47" w:name="_Toc327715967"/>
      <w:r w:rsidRPr="001C6D23">
        <w:rPr>
          <w:rFonts w:ascii="Helvetica" w:hAnsi="Helvetica"/>
          <w:b/>
        </w:rPr>
        <w:t>S</w:t>
      </w:r>
      <w:r w:rsidR="009F10A1" w:rsidRPr="001C6D23">
        <w:rPr>
          <w:rFonts w:ascii="Helvetica" w:hAnsi="Helvetica"/>
          <w:b/>
        </w:rPr>
        <w:t>ignificante veranderingen</w:t>
      </w:r>
      <w:bookmarkEnd w:id="45"/>
      <w:bookmarkEnd w:id="46"/>
      <w:bookmarkEnd w:id="47"/>
    </w:p>
    <w:p w14:paraId="4179CEA4" w14:textId="28F43896" w:rsidR="00FA3B66" w:rsidRDefault="0068579E" w:rsidP="009F10A1">
      <w:pPr>
        <w:rPr>
          <w:rFonts w:ascii="Helvetica" w:hAnsi="Helvetica" w:cs="Arial"/>
          <w:sz w:val="22"/>
          <w:szCs w:val="22"/>
        </w:rPr>
      </w:pPr>
      <w:r w:rsidRPr="0068579E">
        <w:rPr>
          <w:rFonts w:ascii="Helvetica" w:hAnsi="Helvetica" w:cs="Arial"/>
          <w:sz w:val="22"/>
          <w:szCs w:val="22"/>
        </w:rPr>
        <w:t>Het jaar 20</w:t>
      </w:r>
      <w:r w:rsidR="00EE1B12">
        <w:rPr>
          <w:rFonts w:ascii="Helvetica" w:hAnsi="Helvetica" w:cs="Arial"/>
          <w:sz w:val="22"/>
          <w:szCs w:val="22"/>
        </w:rPr>
        <w:t>20</w:t>
      </w:r>
      <w:r w:rsidRPr="0068579E">
        <w:rPr>
          <w:rFonts w:ascii="Helvetica" w:hAnsi="Helvetica" w:cs="Arial"/>
          <w:sz w:val="22"/>
          <w:szCs w:val="22"/>
        </w:rPr>
        <w:t xml:space="preserve"> dient als referentiejaar voor de CO</w:t>
      </w:r>
      <w:r w:rsidRPr="005E7C51">
        <w:rPr>
          <w:rFonts w:ascii="Helvetica" w:hAnsi="Helvetica" w:cs="Arial"/>
          <w:sz w:val="22"/>
          <w:szCs w:val="22"/>
          <w:vertAlign w:val="subscript"/>
        </w:rPr>
        <w:t>2</w:t>
      </w:r>
      <w:r w:rsidRPr="0068579E">
        <w:rPr>
          <w:rFonts w:ascii="Helvetica" w:hAnsi="Helvetica" w:cs="Arial"/>
          <w:sz w:val="22"/>
          <w:szCs w:val="22"/>
        </w:rPr>
        <w:t>-reductiedoelstellingen. Tijdens het schrijven van dit rapport zijn de cijfers van 20</w:t>
      </w:r>
      <w:r w:rsidR="009457B1">
        <w:rPr>
          <w:rFonts w:ascii="Helvetica" w:hAnsi="Helvetica" w:cs="Arial"/>
          <w:sz w:val="22"/>
          <w:szCs w:val="22"/>
        </w:rPr>
        <w:t>2</w:t>
      </w:r>
      <w:r w:rsidR="00EB025D">
        <w:rPr>
          <w:rFonts w:ascii="Helvetica" w:hAnsi="Helvetica" w:cs="Arial"/>
          <w:sz w:val="22"/>
          <w:szCs w:val="22"/>
        </w:rPr>
        <w:t>3</w:t>
      </w:r>
      <w:r w:rsidRPr="0068579E">
        <w:rPr>
          <w:rFonts w:ascii="Helvetica" w:hAnsi="Helvetica" w:cs="Arial"/>
          <w:sz w:val="22"/>
          <w:szCs w:val="22"/>
        </w:rPr>
        <w:t xml:space="preserve"> beschikbaar. Er kan dus een vergelijking worden gemaakt met het jaar 20</w:t>
      </w:r>
      <w:r w:rsidR="00EE1B12">
        <w:rPr>
          <w:rFonts w:ascii="Helvetica" w:hAnsi="Helvetica" w:cs="Arial"/>
          <w:sz w:val="22"/>
          <w:szCs w:val="22"/>
        </w:rPr>
        <w:t>20</w:t>
      </w:r>
      <w:r w:rsidRPr="0068579E">
        <w:rPr>
          <w:rFonts w:ascii="Helvetica" w:hAnsi="Helvetica" w:cs="Arial"/>
          <w:sz w:val="22"/>
          <w:szCs w:val="22"/>
        </w:rPr>
        <w:t>.</w:t>
      </w:r>
      <w:r w:rsidR="00EE1B12">
        <w:rPr>
          <w:rFonts w:ascii="Helvetica" w:hAnsi="Helvetica" w:cs="Arial"/>
          <w:sz w:val="22"/>
          <w:szCs w:val="22"/>
        </w:rPr>
        <w:t xml:space="preserve"> De cijfers 2013 geven de emissie weer in het eerste basisjaar.</w:t>
      </w:r>
    </w:p>
    <w:p w14:paraId="78F94058" w14:textId="77777777" w:rsidR="0068579E" w:rsidRDefault="0068579E" w:rsidP="009F10A1">
      <w:pPr>
        <w:rPr>
          <w:rFonts w:ascii="Helvetica" w:hAnsi="Helvetica" w:cs="Arial"/>
        </w:rPr>
      </w:pPr>
    </w:p>
    <w:tbl>
      <w:tblPr>
        <w:tblW w:w="996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8"/>
        <w:gridCol w:w="992"/>
        <w:gridCol w:w="1134"/>
        <w:gridCol w:w="1134"/>
        <w:gridCol w:w="1134"/>
        <w:gridCol w:w="1134"/>
        <w:gridCol w:w="1276"/>
      </w:tblGrid>
      <w:tr w:rsidR="006B28CD" w:rsidRPr="00B77E6A" w14:paraId="5063B55D" w14:textId="77777777" w:rsidTr="006B28CD">
        <w:trPr>
          <w:trHeight w:val="244"/>
        </w:trPr>
        <w:tc>
          <w:tcPr>
            <w:tcW w:w="3158" w:type="dxa"/>
            <w:shd w:val="clear" w:color="auto" w:fill="C2D69B" w:themeFill="accent3" w:themeFillTint="99"/>
            <w:noWrap/>
            <w:vAlign w:val="bottom"/>
          </w:tcPr>
          <w:p w14:paraId="0D2656D9" w14:textId="77777777" w:rsidR="006B28CD" w:rsidRPr="00B77E6A" w:rsidRDefault="006B28CD" w:rsidP="00583048">
            <w:pPr>
              <w:spacing w:line="240" w:lineRule="auto"/>
              <w:rPr>
                <w:rFonts w:ascii="Helvetica" w:eastAsia="SimSun" w:hAnsi="Helvetica" w:cs="Helvetica"/>
                <w:b/>
                <w:bCs/>
                <w:sz w:val="22"/>
                <w:szCs w:val="22"/>
                <w:lang w:val="en-US" w:eastAsia="zh-CN"/>
              </w:rPr>
            </w:pPr>
            <w:bookmarkStart w:id="48" w:name="_Hlk114555955"/>
            <w:r w:rsidRPr="00B77E6A">
              <w:rPr>
                <w:rFonts w:ascii="Helvetica" w:eastAsia="SimSun" w:hAnsi="Helvetica" w:cs="Helvetica"/>
                <w:b/>
                <w:bCs/>
                <w:sz w:val="22"/>
                <w:szCs w:val="22"/>
                <w:lang w:val="en-US" w:eastAsia="zh-CN"/>
              </w:rPr>
              <w:t>Scope 1</w:t>
            </w:r>
          </w:p>
        </w:tc>
        <w:tc>
          <w:tcPr>
            <w:tcW w:w="992" w:type="dxa"/>
            <w:shd w:val="clear" w:color="auto" w:fill="C2D69B" w:themeFill="accent3" w:themeFillTint="99"/>
          </w:tcPr>
          <w:p w14:paraId="12DE8572" w14:textId="77777777" w:rsidR="006B28CD" w:rsidRPr="00B77E6A" w:rsidRDefault="006B28CD" w:rsidP="00583048">
            <w:pPr>
              <w:spacing w:line="240" w:lineRule="auto"/>
              <w:jc w:val="center"/>
              <w:rPr>
                <w:rFonts w:ascii="Helvetica" w:eastAsia="SimSun" w:hAnsi="Helvetica" w:cs="Helvetica"/>
                <w:b/>
                <w:bCs/>
                <w:sz w:val="22"/>
                <w:szCs w:val="22"/>
                <w:lang w:val="en-US" w:eastAsia="zh-CN"/>
              </w:rPr>
            </w:pPr>
            <w:r>
              <w:rPr>
                <w:rFonts w:ascii="Helvetica" w:eastAsia="SimSun" w:hAnsi="Helvetica" w:cs="Helvetica"/>
                <w:b/>
                <w:bCs/>
                <w:sz w:val="22"/>
                <w:szCs w:val="22"/>
                <w:lang w:val="en-US" w:eastAsia="zh-CN"/>
              </w:rPr>
              <w:t>2013</w:t>
            </w:r>
          </w:p>
        </w:tc>
        <w:tc>
          <w:tcPr>
            <w:tcW w:w="1134" w:type="dxa"/>
            <w:shd w:val="clear" w:color="auto" w:fill="C2D69B" w:themeFill="accent3" w:themeFillTint="99"/>
          </w:tcPr>
          <w:p w14:paraId="52478C2D" w14:textId="1765DE0C" w:rsidR="006B28CD" w:rsidRDefault="006B28CD" w:rsidP="00C46FB3">
            <w:pPr>
              <w:spacing w:line="240" w:lineRule="auto"/>
              <w:jc w:val="center"/>
              <w:rPr>
                <w:rFonts w:ascii="Helvetica" w:eastAsia="SimSun" w:hAnsi="Helvetica" w:cs="Helvetica"/>
                <w:b/>
                <w:bCs/>
                <w:sz w:val="22"/>
                <w:szCs w:val="22"/>
                <w:lang w:val="en-US" w:eastAsia="zh-CN"/>
              </w:rPr>
            </w:pPr>
            <w:r>
              <w:rPr>
                <w:rFonts w:ascii="Helvetica" w:eastAsia="SimSun" w:hAnsi="Helvetica" w:cs="Helvetica"/>
                <w:b/>
                <w:bCs/>
                <w:sz w:val="22"/>
                <w:szCs w:val="22"/>
                <w:lang w:val="en-US" w:eastAsia="zh-CN"/>
              </w:rPr>
              <w:t>2020</w:t>
            </w:r>
            <w:r w:rsidR="006A2EFB">
              <w:rPr>
                <w:rFonts w:ascii="Helvetica" w:eastAsia="SimSun" w:hAnsi="Helvetica" w:cs="Helvetica"/>
                <w:b/>
                <w:bCs/>
                <w:sz w:val="22"/>
                <w:szCs w:val="22"/>
                <w:lang w:val="en-US" w:eastAsia="zh-CN"/>
              </w:rPr>
              <w:t xml:space="preserve"> R</w:t>
            </w:r>
          </w:p>
        </w:tc>
        <w:tc>
          <w:tcPr>
            <w:tcW w:w="1134" w:type="dxa"/>
            <w:shd w:val="clear" w:color="auto" w:fill="C2D69B" w:themeFill="accent3" w:themeFillTint="99"/>
          </w:tcPr>
          <w:p w14:paraId="44C610E6" w14:textId="06D47739" w:rsidR="006B28CD" w:rsidRDefault="006B28CD" w:rsidP="00C46FB3">
            <w:pPr>
              <w:spacing w:line="240" w:lineRule="auto"/>
              <w:jc w:val="center"/>
              <w:rPr>
                <w:rFonts w:ascii="Helvetica" w:eastAsia="SimSun" w:hAnsi="Helvetica" w:cs="Helvetica"/>
                <w:b/>
                <w:bCs/>
                <w:sz w:val="22"/>
                <w:szCs w:val="22"/>
                <w:lang w:val="en-US" w:eastAsia="zh-CN"/>
              </w:rPr>
            </w:pPr>
            <w:r>
              <w:rPr>
                <w:rFonts w:ascii="Helvetica" w:eastAsia="SimSun" w:hAnsi="Helvetica" w:cs="Helvetica"/>
                <w:b/>
                <w:bCs/>
                <w:sz w:val="22"/>
                <w:szCs w:val="22"/>
                <w:lang w:val="en-US" w:eastAsia="zh-CN"/>
              </w:rPr>
              <w:t>2021</w:t>
            </w:r>
          </w:p>
        </w:tc>
        <w:tc>
          <w:tcPr>
            <w:tcW w:w="1134" w:type="dxa"/>
            <w:shd w:val="clear" w:color="auto" w:fill="C2D69B" w:themeFill="accent3" w:themeFillTint="99"/>
          </w:tcPr>
          <w:p w14:paraId="2721BD34" w14:textId="018F38DA" w:rsidR="006B28CD" w:rsidRDefault="006B28CD" w:rsidP="00C46FB3">
            <w:pPr>
              <w:spacing w:line="240" w:lineRule="auto"/>
              <w:jc w:val="center"/>
              <w:rPr>
                <w:rFonts w:ascii="Helvetica" w:eastAsia="SimSun" w:hAnsi="Helvetica" w:cs="Helvetica"/>
                <w:b/>
                <w:bCs/>
                <w:sz w:val="22"/>
                <w:szCs w:val="22"/>
                <w:lang w:val="en-US" w:eastAsia="zh-CN"/>
              </w:rPr>
            </w:pPr>
            <w:r>
              <w:rPr>
                <w:rFonts w:ascii="Helvetica" w:eastAsia="SimSun" w:hAnsi="Helvetica" w:cs="Helvetica"/>
                <w:b/>
                <w:bCs/>
                <w:sz w:val="22"/>
                <w:szCs w:val="22"/>
                <w:lang w:val="en-US" w:eastAsia="zh-CN"/>
              </w:rPr>
              <w:t>2022</w:t>
            </w:r>
          </w:p>
        </w:tc>
        <w:tc>
          <w:tcPr>
            <w:tcW w:w="1134" w:type="dxa"/>
            <w:shd w:val="clear" w:color="auto" w:fill="C2D69B" w:themeFill="accent3" w:themeFillTint="99"/>
          </w:tcPr>
          <w:p w14:paraId="1C01F645" w14:textId="04DB0551" w:rsidR="006B28CD" w:rsidRDefault="006B28CD" w:rsidP="00C46FB3">
            <w:pPr>
              <w:spacing w:line="240" w:lineRule="auto"/>
              <w:jc w:val="center"/>
              <w:rPr>
                <w:rFonts w:ascii="Helvetica" w:eastAsia="SimSun" w:hAnsi="Helvetica" w:cs="Helvetica"/>
                <w:b/>
                <w:bCs/>
                <w:sz w:val="22"/>
                <w:szCs w:val="22"/>
                <w:lang w:val="en-US" w:eastAsia="zh-CN"/>
              </w:rPr>
            </w:pPr>
            <w:r>
              <w:rPr>
                <w:rFonts w:ascii="Helvetica" w:eastAsia="SimSun" w:hAnsi="Helvetica" w:cs="Helvetica"/>
                <w:b/>
                <w:bCs/>
                <w:sz w:val="22"/>
                <w:szCs w:val="22"/>
                <w:lang w:val="en-US" w:eastAsia="zh-CN"/>
              </w:rPr>
              <w:t>2023</w:t>
            </w:r>
          </w:p>
        </w:tc>
        <w:tc>
          <w:tcPr>
            <w:tcW w:w="1276" w:type="dxa"/>
            <w:shd w:val="clear" w:color="auto" w:fill="C2D69B" w:themeFill="accent3" w:themeFillTint="99"/>
          </w:tcPr>
          <w:p w14:paraId="3BDAB522" w14:textId="6ED6012F" w:rsidR="006B28CD" w:rsidRDefault="006B28CD" w:rsidP="00C46FB3">
            <w:pPr>
              <w:spacing w:line="240" w:lineRule="auto"/>
              <w:jc w:val="center"/>
              <w:rPr>
                <w:rFonts w:ascii="Helvetica" w:eastAsia="SimSun" w:hAnsi="Helvetica" w:cs="Helvetica"/>
                <w:b/>
                <w:bCs/>
                <w:sz w:val="22"/>
                <w:szCs w:val="22"/>
                <w:lang w:val="en-US" w:eastAsia="zh-CN"/>
              </w:rPr>
            </w:pPr>
            <w:r>
              <w:rPr>
                <w:rFonts w:ascii="Helvetica" w:eastAsia="SimSun" w:hAnsi="Helvetica" w:cs="Helvetica"/>
                <w:b/>
                <w:bCs/>
                <w:sz w:val="22"/>
                <w:szCs w:val="22"/>
                <w:lang w:val="en-US" w:eastAsia="zh-CN"/>
              </w:rPr>
              <w:t>Red. in %</w:t>
            </w:r>
          </w:p>
        </w:tc>
      </w:tr>
      <w:tr w:rsidR="006B28CD" w:rsidRPr="00B77E6A" w14:paraId="1984961F" w14:textId="77777777" w:rsidTr="006B28CD">
        <w:trPr>
          <w:trHeight w:val="244"/>
        </w:trPr>
        <w:tc>
          <w:tcPr>
            <w:tcW w:w="3158" w:type="dxa"/>
            <w:shd w:val="clear" w:color="auto" w:fill="auto"/>
            <w:noWrap/>
            <w:vAlign w:val="bottom"/>
          </w:tcPr>
          <w:p w14:paraId="1C318CBA" w14:textId="77777777" w:rsidR="006B28CD" w:rsidRPr="002537AE" w:rsidRDefault="006B28CD" w:rsidP="00583048">
            <w:pPr>
              <w:pStyle w:val="Bijschrift"/>
              <w:rPr>
                <w:rFonts w:ascii="Helvetica" w:hAnsi="Helvetica" w:cs="Arial"/>
                <w:lang w:val="en-US"/>
              </w:rPr>
            </w:pPr>
            <w:proofErr w:type="spellStart"/>
            <w:r w:rsidRPr="002537AE">
              <w:rPr>
                <w:rFonts w:ascii="Helvetica" w:hAnsi="Helvetica" w:cs="Arial"/>
                <w:lang w:val="en-US"/>
              </w:rPr>
              <w:t>Gasverbruik</w:t>
            </w:r>
            <w:proofErr w:type="spellEnd"/>
          </w:p>
        </w:tc>
        <w:tc>
          <w:tcPr>
            <w:tcW w:w="992" w:type="dxa"/>
            <w:vAlign w:val="bottom"/>
          </w:tcPr>
          <w:p w14:paraId="33F06A2D" w14:textId="77777777" w:rsidR="006B28CD" w:rsidRPr="002537AE" w:rsidRDefault="006B28CD" w:rsidP="00583048">
            <w:pPr>
              <w:pStyle w:val="Bijschrift"/>
              <w:jc w:val="right"/>
              <w:rPr>
                <w:rFonts w:ascii="Helvetica" w:hAnsi="Helvetica" w:cs="Arial"/>
                <w:lang w:val="en-US"/>
              </w:rPr>
            </w:pPr>
            <w:r>
              <w:rPr>
                <w:rFonts w:ascii="Helvetica" w:hAnsi="Helvetica" w:cs="Arial"/>
                <w:lang w:val="en-US"/>
              </w:rPr>
              <w:t>7,7</w:t>
            </w:r>
          </w:p>
        </w:tc>
        <w:tc>
          <w:tcPr>
            <w:tcW w:w="1134" w:type="dxa"/>
          </w:tcPr>
          <w:p w14:paraId="712469A7" w14:textId="77777777" w:rsidR="006B28CD" w:rsidRDefault="006B28CD" w:rsidP="00583048">
            <w:pPr>
              <w:pStyle w:val="Bijschrift"/>
              <w:jc w:val="right"/>
              <w:rPr>
                <w:rFonts w:ascii="Helvetica" w:hAnsi="Helvetica" w:cs="Arial"/>
                <w:lang w:val="en-US"/>
              </w:rPr>
            </w:pPr>
            <w:r>
              <w:rPr>
                <w:rFonts w:ascii="Helvetica" w:hAnsi="Helvetica" w:cs="Arial"/>
                <w:lang w:val="en-US"/>
              </w:rPr>
              <w:t>5,6</w:t>
            </w:r>
          </w:p>
        </w:tc>
        <w:tc>
          <w:tcPr>
            <w:tcW w:w="1134" w:type="dxa"/>
          </w:tcPr>
          <w:p w14:paraId="28D9060F" w14:textId="526E2F13" w:rsidR="006B28CD" w:rsidRDefault="006B28CD" w:rsidP="00583048">
            <w:pPr>
              <w:pStyle w:val="Bijschrift"/>
              <w:jc w:val="right"/>
              <w:rPr>
                <w:rFonts w:ascii="Helvetica" w:hAnsi="Helvetica" w:cs="Arial"/>
                <w:lang w:val="en-US"/>
              </w:rPr>
            </w:pPr>
            <w:r>
              <w:rPr>
                <w:rFonts w:ascii="Helvetica" w:hAnsi="Helvetica" w:cs="Arial"/>
                <w:lang w:val="en-US"/>
              </w:rPr>
              <w:t>7,6</w:t>
            </w:r>
          </w:p>
        </w:tc>
        <w:tc>
          <w:tcPr>
            <w:tcW w:w="1134" w:type="dxa"/>
          </w:tcPr>
          <w:p w14:paraId="221BC941" w14:textId="5B41AAC7" w:rsidR="006B28CD" w:rsidRDefault="006B28CD" w:rsidP="00583048">
            <w:pPr>
              <w:pStyle w:val="Bijschrift"/>
              <w:jc w:val="right"/>
              <w:rPr>
                <w:rFonts w:ascii="Helvetica" w:hAnsi="Helvetica" w:cs="Arial"/>
                <w:lang w:val="en-US"/>
              </w:rPr>
            </w:pPr>
            <w:r>
              <w:rPr>
                <w:rFonts w:ascii="Helvetica" w:hAnsi="Helvetica" w:cs="Arial"/>
                <w:lang w:val="en-US"/>
              </w:rPr>
              <w:t>6,2</w:t>
            </w:r>
          </w:p>
        </w:tc>
        <w:tc>
          <w:tcPr>
            <w:tcW w:w="1134" w:type="dxa"/>
          </w:tcPr>
          <w:p w14:paraId="585DEB95" w14:textId="6C01D3C4" w:rsidR="006B28CD" w:rsidRDefault="006B28CD" w:rsidP="00583048">
            <w:pPr>
              <w:pStyle w:val="Bijschrift"/>
              <w:jc w:val="right"/>
              <w:rPr>
                <w:rFonts w:ascii="Helvetica" w:hAnsi="Helvetica" w:cs="Arial"/>
                <w:lang w:val="en-US"/>
              </w:rPr>
            </w:pPr>
            <w:r>
              <w:rPr>
                <w:rFonts w:ascii="Helvetica" w:hAnsi="Helvetica" w:cs="Arial"/>
                <w:lang w:val="en-US"/>
              </w:rPr>
              <w:t>4,7</w:t>
            </w:r>
          </w:p>
        </w:tc>
        <w:tc>
          <w:tcPr>
            <w:tcW w:w="1276" w:type="dxa"/>
          </w:tcPr>
          <w:p w14:paraId="28B09659" w14:textId="634799DB" w:rsidR="006B28CD" w:rsidRDefault="00E5544C" w:rsidP="00583048">
            <w:pPr>
              <w:pStyle w:val="Bijschrift"/>
              <w:jc w:val="right"/>
              <w:rPr>
                <w:rFonts w:ascii="Helvetica" w:hAnsi="Helvetica" w:cs="Arial"/>
                <w:lang w:val="en-US"/>
              </w:rPr>
            </w:pPr>
            <w:r>
              <w:rPr>
                <w:rFonts w:ascii="Helvetica" w:hAnsi="Helvetica" w:cs="Arial"/>
                <w:lang w:val="en-US"/>
              </w:rPr>
              <w:t>16</w:t>
            </w:r>
            <w:r w:rsidR="006B28CD">
              <w:rPr>
                <w:rFonts w:ascii="Helvetica" w:hAnsi="Helvetica" w:cs="Arial"/>
                <w:lang w:val="en-US"/>
              </w:rPr>
              <w:t>,</w:t>
            </w:r>
            <w:r>
              <w:rPr>
                <w:rFonts w:ascii="Helvetica" w:hAnsi="Helvetica" w:cs="Arial"/>
                <w:lang w:val="en-US"/>
              </w:rPr>
              <w:t>1</w:t>
            </w:r>
          </w:p>
        </w:tc>
      </w:tr>
      <w:tr w:rsidR="006B28CD" w:rsidRPr="00B77E6A" w14:paraId="48D9E966" w14:textId="77777777" w:rsidTr="006B28CD">
        <w:trPr>
          <w:trHeight w:val="244"/>
        </w:trPr>
        <w:tc>
          <w:tcPr>
            <w:tcW w:w="3158" w:type="dxa"/>
            <w:tcBorders>
              <w:bottom w:val="single" w:sz="8" w:space="0" w:color="auto"/>
            </w:tcBorders>
            <w:shd w:val="clear" w:color="auto" w:fill="auto"/>
            <w:noWrap/>
            <w:vAlign w:val="bottom"/>
          </w:tcPr>
          <w:p w14:paraId="0E7FE92C" w14:textId="77777777" w:rsidR="006B28CD" w:rsidRPr="002537AE" w:rsidRDefault="006B28CD" w:rsidP="00583048">
            <w:pPr>
              <w:pStyle w:val="Bijschrift"/>
              <w:rPr>
                <w:rFonts w:ascii="Helvetica" w:hAnsi="Helvetica" w:cs="Arial"/>
              </w:rPr>
            </w:pPr>
            <w:r w:rsidRPr="002537AE">
              <w:rPr>
                <w:rFonts w:ascii="Helvetica" w:hAnsi="Helvetica" w:cs="Arial"/>
              </w:rPr>
              <w:t>Dieselverbruik materieel</w:t>
            </w:r>
          </w:p>
        </w:tc>
        <w:tc>
          <w:tcPr>
            <w:tcW w:w="992" w:type="dxa"/>
            <w:tcBorders>
              <w:bottom w:val="single" w:sz="8" w:space="0" w:color="auto"/>
            </w:tcBorders>
            <w:vAlign w:val="bottom"/>
          </w:tcPr>
          <w:p w14:paraId="5C210284" w14:textId="77777777" w:rsidR="006B28CD" w:rsidRPr="002537AE" w:rsidRDefault="006B28CD" w:rsidP="00583048">
            <w:pPr>
              <w:pStyle w:val="Bijschrift"/>
              <w:jc w:val="right"/>
              <w:rPr>
                <w:rFonts w:ascii="Helvetica" w:hAnsi="Helvetica" w:cs="Arial"/>
                <w:lang w:val="en-US"/>
              </w:rPr>
            </w:pPr>
            <w:r>
              <w:rPr>
                <w:rFonts w:ascii="Helvetica" w:hAnsi="Helvetica" w:cs="Arial"/>
                <w:lang w:val="en-US"/>
              </w:rPr>
              <w:t>1.122,9</w:t>
            </w:r>
          </w:p>
        </w:tc>
        <w:tc>
          <w:tcPr>
            <w:tcW w:w="1134" w:type="dxa"/>
            <w:tcBorders>
              <w:bottom w:val="single" w:sz="8" w:space="0" w:color="auto"/>
            </w:tcBorders>
          </w:tcPr>
          <w:p w14:paraId="32C79EEC" w14:textId="77777777" w:rsidR="006B28CD" w:rsidRDefault="006B28CD" w:rsidP="00583048">
            <w:pPr>
              <w:pStyle w:val="Bijschrift"/>
              <w:jc w:val="right"/>
              <w:rPr>
                <w:rFonts w:ascii="Helvetica" w:hAnsi="Helvetica" w:cs="Arial"/>
                <w:lang w:val="en-US"/>
              </w:rPr>
            </w:pPr>
            <w:r>
              <w:rPr>
                <w:rFonts w:ascii="Helvetica" w:hAnsi="Helvetica" w:cs="Arial"/>
                <w:lang w:val="en-US"/>
              </w:rPr>
              <w:t>1.255,7</w:t>
            </w:r>
          </w:p>
        </w:tc>
        <w:tc>
          <w:tcPr>
            <w:tcW w:w="1134" w:type="dxa"/>
            <w:tcBorders>
              <w:bottom w:val="single" w:sz="8" w:space="0" w:color="auto"/>
            </w:tcBorders>
          </w:tcPr>
          <w:p w14:paraId="6E6669DE" w14:textId="298A8103" w:rsidR="006B28CD" w:rsidRDefault="006B28CD" w:rsidP="00583048">
            <w:pPr>
              <w:pStyle w:val="Bijschrift"/>
              <w:jc w:val="right"/>
              <w:rPr>
                <w:rFonts w:ascii="Helvetica" w:hAnsi="Helvetica" w:cs="Arial"/>
                <w:lang w:val="en-US"/>
              </w:rPr>
            </w:pPr>
            <w:r>
              <w:rPr>
                <w:rFonts w:ascii="Helvetica" w:hAnsi="Helvetica" w:cs="Arial"/>
                <w:lang w:val="en-US"/>
              </w:rPr>
              <w:t>1.233,8</w:t>
            </w:r>
          </w:p>
        </w:tc>
        <w:tc>
          <w:tcPr>
            <w:tcW w:w="1134" w:type="dxa"/>
            <w:tcBorders>
              <w:bottom w:val="single" w:sz="8" w:space="0" w:color="auto"/>
            </w:tcBorders>
          </w:tcPr>
          <w:p w14:paraId="096C9F72" w14:textId="116F37D4" w:rsidR="006B28CD" w:rsidRDefault="006B28CD" w:rsidP="00583048">
            <w:pPr>
              <w:pStyle w:val="Bijschrift"/>
              <w:jc w:val="right"/>
              <w:rPr>
                <w:rFonts w:ascii="Helvetica" w:hAnsi="Helvetica" w:cs="Arial"/>
                <w:lang w:val="en-US"/>
              </w:rPr>
            </w:pPr>
            <w:r>
              <w:rPr>
                <w:rFonts w:ascii="Helvetica" w:hAnsi="Helvetica" w:cs="Arial"/>
                <w:lang w:val="en-US"/>
              </w:rPr>
              <w:t>1.203,1</w:t>
            </w:r>
          </w:p>
        </w:tc>
        <w:tc>
          <w:tcPr>
            <w:tcW w:w="1134" w:type="dxa"/>
            <w:tcBorders>
              <w:bottom w:val="single" w:sz="8" w:space="0" w:color="auto"/>
            </w:tcBorders>
          </w:tcPr>
          <w:p w14:paraId="3BF8225F" w14:textId="5119B7B8" w:rsidR="006B28CD" w:rsidRDefault="006B28CD" w:rsidP="00583048">
            <w:pPr>
              <w:pStyle w:val="Bijschrift"/>
              <w:jc w:val="right"/>
              <w:rPr>
                <w:rFonts w:ascii="Helvetica" w:hAnsi="Helvetica" w:cs="Arial"/>
                <w:lang w:val="en-US"/>
              </w:rPr>
            </w:pPr>
            <w:r>
              <w:rPr>
                <w:rFonts w:ascii="Helvetica" w:hAnsi="Helvetica" w:cs="Arial"/>
                <w:lang w:val="en-US"/>
              </w:rPr>
              <w:t>1.129,1</w:t>
            </w:r>
          </w:p>
        </w:tc>
        <w:tc>
          <w:tcPr>
            <w:tcW w:w="1276" w:type="dxa"/>
            <w:tcBorders>
              <w:bottom w:val="single" w:sz="8" w:space="0" w:color="auto"/>
            </w:tcBorders>
          </w:tcPr>
          <w:p w14:paraId="43770A7B" w14:textId="77AC9C0D" w:rsidR="006B28CD" w:rsidRDefault="00D32FDA" w:rsidP="00583048">
            <w:pPr>
              <w:pStyle w:val="Bijschrift"/>
              <w:jc w:val="right"/>
              <w:rPr>
                <w:rFonts w:ascii="Helvetica" w:hAnsi="Helvetica" w:cs="Arial"/>
                <w:lang w:val="en-US"/>
              </w:rPr>
            </w:pPr>
            <w:r>
              <w:rPr>
                <w:rFonts w:ascii="Helvetica" w:hAnsi="Helvetica" w:cs="Arial"/>
                <w:lang w:val="en-US"/>
              </w:rPr>
              <w:t>1</w:t>
            </w:r>
            <w:r w:rsidR="006B28CD">
              <w:rPr>
                <w:rFonts w:ascii="Helvetica" w:hAnsi="Helvetica" w:cs="Arial"/>
                <w:lang w:val="en-US"/>
              </w:rPr>
              <w:t>0,</w:t>
            </w:r>
            <w:r>
              <w:rPr>
                <w:rFonts w:ascii="Helvetica" w:hAnsi="Helvetica" w:cs="Arial"/>
                <w:lang w:val="en-US"/>
              </w:rPr>
              <w:t>1</w:t>
            </w:r>
          </w:p>
        </w:tc>
      </w:tr>
      <w:tr w:rsidR="006B28CD" w:rsidRPr="00B77E6A" w14:paraId="6109E72A" w14:textId="77777777" w:rsidTr="006B28CD">
        <w:trPr>
          <w:trHeight w:val="244"/>
        </w:trPr>
        <w:tc>
          <w:tcPr>
            <w:tcW w:w="3158" w:type="dxa"/>
            <w:tcBorders>
              <w:bottom w:val="single" w:sz="8" w:space="0" w:color="auto"/>
            </w:tcBorders>
            <w:shd w:val="clear" w:color="auto" w:fill="auto"/>
            <w:noWrap/>
            <w:vAlign w:val="bottom"/>
          </w:tcPr>
          <w:p w14:paraId="75D04D82" w14:textId="4115A548" w:rsidR="006B28CD" w:rsidRPr="002537AE" w:rsidRDefault="006B28CD" w:rsidP="00583048">
            <w:pPr>
              <w:pStyle w:val="Bijschrift"/>
              <w:rPr>
                <w:rFonts w:ascii="Helvetica" w:hAnsi="Helvetica" w:cs="Arial"/>
              </w:rPr>
            </w:pPr>
            <w:r>
              <w:rPr>
                <w:rFonts w:ascii="Helvetica" w:hAnsi="Helvetica" w:cs="Arial"/>
              </w:rPr>
              <w:t>HVO 100</w:t>
            </w:r>
          </w:p>
        </w:tc>
        <w:tc>
          <w:tcPr>
            <w:tcW w:w="992" w:type="dxa"/>
            <w:tcBorders>
              <w:bottom w:val="single" w:sz="8" w:space="0" w:color="auto"/>
            </w:tcBorders>
            <w:vAlign w:val="bottom"/>
          </w:tcPr>
          <w:p w14:paraId="533A7C72" w14:textId="77777777" w:rsidR="006B28CD" w:rsidRDefault="006B28CD" w:rsidP="00583048">
            <w:pPr>
              <w:pStyle w:val="Bijschrift"/>
              <w:jc w:val="right"/>
              <w:rPr>
                <w:rFonts w:ascii="Helvetica" w:hAnsi="Helvetica" w:cs="Arial"/>
                <w:lang w:val="en-US"/>
              </w:rPr>
            </w:pPr>
          </w:p>
        </w:tc>
        <w:tc>
          <w:tcPr>
            <w:tcW w:w="1134" w:type="dxa"/>
            <w:tcBorders>
              <w:bottom w:val="single" w:sz="8" w:space="0" w:color="auto"/>
            </w:tcBorders>
          </w:tcPr>
          <w:p w14:paraId="05C503F3" w14:textId="77777777" w:rsidR="006B28CD" w:rsidRDefault="006B28CD" w:rsidP="00583048">
            <w:pPr>
              <w:pStyle w:val="Bijschrift"/>
              <w:jc w:val="right"/>
              <w:rPr>
                <w:rFonts w:ascii="Helvetica" w:hAnsi="Helvetica" w:cs="Arial"/>
                <w:lang w:val="en-US"/>
              </w:rPr>
            </w:pPr>
          </w:p>
        </w:tc>
        <w:tc>
          <w:tcPr>
            <w:tcW w:w="1134" w:type="dxa"/>
            <w:tcBorders>
              <w:bottom w:val="single" w:sz="8" w:space="0" w:color="auto"/>
            </w:tcBorders>
          </w:tcPr>
          <w:p w14:paraId="72352F48" w14:textId="77777777" w:rsidR="006B28CD" w:rsidRDefault="006B28CD" w:rsidP="00583048">
            <w:pPr>
              <w:pStyle w:val="Bijschrift"/>
              <w:jc w:val="right"/>
              <w:rPr>
                <w:rFonts w:ascii="Helvetica" w:hAnsi="Helvetica" w:cs="Arial"/>
                <w:lang w:val="en-US"/>
              </w:rPr>
            </w:pPr>
          </w:p>
        </w:tc>
        <w:tc>
          <w:tcPr>
            <w:tcW w:w="1134" w:type="dxa"/>
            <w:tcBorders>
              <w:bottom w:val="single" w:sz="8" w:space="0" w:color="auto"/>
            </w:tcBorders>
          </w:tcPr>
          <w:p w14:paraId="7D63CB39" w14:textId="3499143F" w:rsidR="006B28CD" w:rsidRDefault="006B28CD" w:rsidP="00583048">
            <w:pPr>
              <w:pStyle w:val="Bijschrift"/>
              <w:jc w:val="right"/>
              <w:rPr>
                <w:rFonts w:ascii="Helvetica" w:hAnsi="Helvetica" w:cs="Arial"/>
                <w:lang w:val="en-US"/>
              </w:rPr>
            </w:pPr>
            <w:r>
              <w:rPr>
                <w:rFonts w:ascii="Helvetica" w:hAnsi="Helvetica" w:cs="Arial"/>
                <w:lang w:val="en-US"/>
              </w:rPr>
              <w:t>0,2</w:t>
            </w:r>
          </w:p>
        </w:tc>
        <w:tc>
          <w:tcPr>
            <w:tcW w:w="1134" w:type="dxa"/>
            <w:tcBorders>
              <w:bottom w:val="single" w:sz="8" w:space="0" w:color="auto"/>
            </w:tcBorders>
          </w:tcPr>
          <w:p w14:paraId="1CF70BD2" w14:textId="77777777" w:rsidR="006B28CD" w:rsidRDefault="006B28CD" w:rsidP="00583048">
            <w:pPr>
              <w:pStyle w:val="Bijschrift"/>
              <w:jc w:val="right"/>
              <w:rPr>
                <w:rFonts w:ascii="Helvetica" w:hAnsi="Helvetica" w:cs="Arial"/>
                <w:lang w:val="en-US"/>
              </w:rPr>
            </w:pPr>
          </w:p>
        </w:tc>
        <w:tc>
          <w:tcPr>
            <w:tcW w:w="1276" w:type="dxa"/>
            <w:tcBorders>
              <w:bottom w:val="single" w:sz="8" w:space="0" w:color="auto"/>
            </w:tcBorders>
          </w:tcPr>
          <w:p w14:paraId="38C10C84" w14:textId="77777777" w:rsidR="006B28CD" w:rsidRDefault="006B28CD" w:rsidP="00583048">
            <w:pPr>
              <w:pStyle w:val="Bijschrift"/>
              <w:jc w:val="right"/>
              <w:rPr>
                <w:rFonts w:ascii="Helvetica" w:hAnsi="Helvetica" w:cs="Arial"/>
                <w:lang w:val="en-US"/>
              </w:rPr>
            </w:pPr>
          </w:p>
        </w:tc>
      </w:tr>
      <w:tr w:rsidR="006B28CD" w:rsidRPr="00B77E6A" w14:paraId="02E9618C" w14:textId="77777777" w:rsidTr="006B28CD">
        <w:trPr>
          <w:trHeight w:val="244"/>
        </w:trPr>
        <w:tc>
          <w:tcPr>
            <w:tcW w:w="3158" w:type="dxa"/>
            <w:tcBorders>
              <w:bottom w:val="single" w:sz="4" w:space="0" w:color="auto"/>
            </w:tcBorders>
            <w:shd w:val="clear" w:color="auto" w:fill="C2D69B" w:themeFill="accent3" w:themeFillTint="99"/>
            <w:noWrap/>
            <w:vAlign w:val="bottom"/>
          </w:tcPr>
          <w:p w14:paraId="6ADBCA4A" w14:textId="6FD153F8" w:rsidR="006B28CD" w:rsidRPr="002537AE" w:rsidRDefault="006B28CD" w:rsidP="00583048">
            <w:pPr>
              <w:pStyle w:val="Bijschrift"/>
              <w:rPr>
                <w:rFonts w:ascii="Helvetica" w:hAnsi="Helvetica" w:cs="Arial"/>
                <w:lang w:val="en-US"/>
              </w:rPr>
            </w:pPr>
            <w:proofErr w:type="spellStart"/>
            <w:r>
              <w:rPr>
                <w:rFonts w:ascii="Helvetica" w:hAnsi="Helvetica" w:cs="Arial"/>
                <w:lang w:val="en-US"/>
              </w:rPr>
              <w:t>afronding</w:t>
            </w:r>
            <w:proofErr w:type="spellEnd"/>
          </w:p>
        </w:tc>
        <w:tc>
          <w:tcPr>
            <w:tcW w:w="992" w:type="dxa"/>
            <w:tcBorders>
              <w:bottom w:val="single" w:sz="4" w:space="0" w:color="auto"/>
            </w:tcBorders>
            <w:shd w:val="clear" w:color="auto" w:fill="C2D69B" w:themeFill="accent3" w:themeFillTint="99"/>
            <w:vAlign w:val="bottom"/>
          </w:tcPr>
          <w:p w14:paraId="0CEC69BA" w14:textId="77777777" w:rsidR="006B28CD" w:rsidRPr="002537AE" w:rsidRDefault="006B28CD" w:rsidP="00583048">
            <w:pPr>
              <w:pStyle w:val="Bijschrift"/>
              <w:jc w:val="right"/>
              <w:rPr>
                <w:rFonts w:ascii="Helvetica" w:hAnsi="Helvetica" w:cs="Arial"/>
                <w:lang w:val="en-US"/>
              </w:rPr>
            </w:pPr>
          </w:p>
        </w:tc>
        <w:tc>
          <w:tcPr>
            <w:tcW w:w="1134" w:type="dxa"/>
            <w:tcBorders>
              <w:bottom w:val="single" w:sz="4" w:space="0" w:color="auto"/>
            </w:tcBorders>
            <w:shd w:val="clear" w:color="auto" w:fill="C2D69B" w:themeFill="accent3" w:themeFillTint="99"/>
          </w:tcPr>
          <w:p w14:paraId="62F7633E" w14:textId="77777777" w:rsidR="006B28CD" w:rsidRPr="002537AE" w:rsidRDefault="006B28CD" w:rsidP="00583048">
            <w:pPr>
              <w:pStyle w:val="Bijschrift"/>
              <w:jc w:val="right"/>
              <w:rPr>
                <w:rFonts w:ascii="Helvetica" w:hAnsi="Helvetica" w:cs="Arial"/>
                <w:lang w:val="en-US"/>
              </w:rPr>
            </w:pPr>
          </w:p>
        </w:tc>
        <w:tc>
          <w:tcPr>
            <w:tcW w:w="1134" w:type="dxa"/>
            <w:tcBorders>
              <w:bottom w:val="single" w:sz="4" w:space="0" w:color="auto"/>
            </w:tcBorders>
            <w:shd w:val="clear" w:color="auto" w:fill="C2D69B" w:themeFill="accent3" w:themeFillTint="99"/>
          </w:tcPr>
          <w:p w14:paraId="7A9CDAF5" w14:textId="77777777" w:rsidR="006B28CD" w:rsidRPr="002537AE" w:rsidRDefault="006B28CD" w:rsidP="00583048">
            <w:pPr>
              <w:pStyle w:val="Bijschrift"/>
              <w:jc w:val="right"/>
              <w:rPr>
                <w:rFonts w:ascii="Helvetica" w:hAnsi="Helvetica" w:cs="Arial"/>
                <w:lang w:val="en-US"/>
              </w:rPr>
            </w:pPr>
          </w:p>
        </w:tc>
        <w:tc>
          <w:tcPr>
            <w:tcW w:w="1134" w:type="dxa"/>
            <w:tcBorders>
              <w:bottom w:val="single" w:sz="4" w:space="0" w:color="auto"/>
            </w:tcBorders>
            <w:shd w:val="clear" w:color="auto" w:fill="C2D69B" w:themeFill="accent3" w:themeFillTint="99"/>
          </w:tcPr>
          <w:p w14:paraId="1870C61C" w14:textId="77777777" w:rsidR="006B28CD" w:rsidRPr="002537AE" w:rsidRDefault="006B28CD" w:rsidP="00583048">
            <w:pPr>
              <w:pStyle w:val="Bijschrift"/>
              <w:jc w:val="right"/>
              <w:rPr>
                <w:rFonts w:ascii="Helvetica" w:hAnsi="Helvetica" w:cs="Arial"/>
                <w:lang w:val="en-US"/>
              </w:rPr>
            </w:pPr>
          </w:p>
        </w:tc>
        <w:tc>
          <w:tcPr>
            <w:tcW w:w="1134" w:type="dxa"/>
            <w:tcBorders>
              <w:bottom w:val="single" w:sz="4" w:space="0" w:color="auto"/>
            </w:tcBorders>
            <w:shd w:val="clear" w:color="auto" w:fill="C2D69B" w:themeFill="accent3" w:themeFillTint="99"/>
          </w:tcPr>
          <w:p w14:paraId="5F9A2845" w14:textId="166A3863" w:rsidR="006B28CD" w:rsidRPr="002537AE" w:rsidRDefault="006B28CD" w:rsidP="00583048">
            <w:pPr>
              <w:pStyle w:val="Bijschrift"/>
              <w:jc w:val="right"/>
              <w:rPr>
                <w:rFonts w:ascii="Helvetica" w:hAnsi="Helvetica" w:cs="Arial"/>
                <w:lang w:val="en-US"/>
              </w:rPr>
            </w:pPr>
            <w:r>
              <w:rPr>
                <w:rFonts w:ascii="Helvetica" w:hAnsi="Helvetica" w:cs="Arial"/>
                <w:lang w:val="en-US"/>
              </w:rPr>
              <w:t>0.1</w:t>
            </w:r>
          </w:p>
        </w:tc>
        <w:tc>
          <w:tcPr>
            <w:tcW w:w="1276" w:type="dxa"/>
            <w:tcBorders>
              <w:bottom w:val="single" w:sz="4" w:space="0" w:color="auto"/>
            </w:tcBorders>
            <w:shd w:val="clear" w:color="auto" w:fill="C2D69B" w:themeFill="accent3" w:themeFillTint="99"/>
          </w:tcPr>
          <w:p w14:paraId="73865149" w14:textId="77777777" w:rsidR="006B28CD" w:rsidRPr="002537AE" w:rsidRDefault="006B28CD" w:rsidP="00583048">
            <w:pPr>
              <w:pStyle w:val="Bijschrift"/>
              <w:jc w:val="right"/>
              <w:rPr>
                <w:rFonts w:ascii="Helvetica" w:hAnsi="Helvetica" w:cs="Arial"/>
                <w:lang w:val="en-US"/>
              </w:rPr>
            </w:pPr>
          </w:p>
        </w:tc>
      </w:tr>
      <w:tr w:rsidR="006B28CD" w:rsidRPr="00B77E6A" w14:paraId="69772B95" w14:textId="77777777" w:rsidTr="006B28CD">
        <w:trPr>
          <w:trHeight w:val="244"/>
        </w:trPr>
        <w:tc>
          <w:tcPr>
            <w:tcW w:w="3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FED6F" w14:textId="77777777" w:rsidR="006B28CD" w:rsidRPr="002537AE" w:rsidRDefault="006B28CD" w:rsidP="00583048">
            <w:pPr>
              <w:pStyle w:val="Bijschrift"/>
              <w:rPr>
                <w:rFonts w:ascii="Helvetica" w:hAnsi="Helvetica" w:cs="Arial"/>
                <w:lang w:val="en-US"/>
              </w:rPr>
            </w:pPr>
            <w:proofErr w:type="spellStart"/>
            <w:r w:rsidRPr="002537AE">
              <w:rPr>
                <w:rFonts w:ascii="Helvetica" w:hAnsi="Helvetica" w:cs="Arial"/>
                <w:lang w:val="en-US"/>
              </w:rPr>
              <w:t>Totaal</w:t>
            </w:r>
            <w:proofErr w:type="spellEnd"/>
            <w:r w:rsidRPr="002537AE">
              <w:rPr>
                <w:rFonts w:ascii="Helvetica" w:hAnsi="Helvetica" w:cs="Arial"/>
                <w:lang w:val="en-US"/>
              </w:rPr>
              <w:t xml:space="preserve"> scope 1</w:t>
            </w:r>
          </w:p>
        </w:tc>
        <w:tc>
          <w:tcPr>
            <w:tcW w:w="992" w:type="dxa"/>
            <w:tcBorders>
              <w:top w:val="single" w:sz="4" w:space="0" w:color="auto"/>
              <w:left w:val="single" w:sz="4" w:space="0" w:color="auto"/>
              <w:bottom w:val="single" w:sz="4" w:space="0" w:color="auto"/>
              <w:right w:val="single" w:sz="4" w:space="0" w:color="auto"/>
            </w:tcBorders>
            <w:vAlign w:val="bottom"/>
          </w:tcPr>
          <w:p w14:paraId="6B54904B" w14:textId="77777777" w:rsidR="006B28CD" w:rsidRPr="002537AE" w:rsidRDefault="006B28CD" w:rsidP="00583048">
            <w:pPr>
              <w:pStyle w:val="Bijschrift"/>
              <w:jc w:val="right"/>
              <w:rPr>
                <w:rFonts w:ascii="Helvetica" w:hAnsi="Helvetica" w:cs="Arial"/>
                <w:lang w:val="en-US"/>
              </w:rPr>
            </w:pPr>
            <w:r>
              <w:rPr>
                <w:rFonts w:ascii="Helvetica" w:hAnsi="Helvetica" w:cs="Arial"/>
                <w:lang w:val="en-US"/>
              </w:rPr>
              <w:t>1.130,6</w:t>
            </w:r>
          </w:p>
        </w:tc>
        <w:tc>
          <w:tcPr>
            <w:tcW w:w="1134" w:type="dxa"/>
            <w:tcBorders>
              <w:top w:val="single" w:sz="4" w:space="0" w:color="auto"/>
              <w:left w:val="single" w:sz="4" w:space="0" w:color="auto"/>
              <w:bottom w:val="single" w:sz="4" w:space="0" w:color="auto"/>
              <w:right w:val="single" w:sz="4" w:space="0" w:color="auto"/>
            </w:tcBorders>
          </w:tcPr>
          <w:p w14:paraId="550B94AC" w14:textId="77777777" w:rsidR="006B28CD" w:rsidRDefault="006B28CD" w:rsidP="00583048">
            <w:pPr>
              <w:pStyle w:val="Bijschrift"/>
              <w:jc w:val="right"/>
              <w:rPr>
                <w:rFonts w:ascii="Helvetica" w:hAnsi="Helvetica" w:cs="Arial"/>
                <w:lang w:val="en-US"/>
              </w:rPr>
            </w:pPr>
            <w:r>
              <w:rPr>
                <w:rFonts w:ascii="Helvetica" w:hAnsi="Helvetica" w:cs="Arial"/>
                <w:lang w:val="en-US"/>
              </w:rPr>
              <w:t>1.261,3</w:t>
            </w:r>
          </w:p>
        </w:tc>
        <w:tc>
          <w:tcPr>
            <w:tcW w:w="1134" w:type="dxa"/>
            <w:tcBorders>
              <w:top w:val="single" w:sz="4" w:space="0" w:color="auto"/>
              <w:left w:val="single" w:sz="4" w:space="0" w:color="auto"/>
              <w:bottom w:val="single" w:sz="4" w:space="0" w:color="auto"/>
              <w:right w:val="single" w:sz="4" w:space="0" w:color="auto"/>
            </w:tcBorders>
          </w:tcPr>
          <w:p w14:paraId="11C6F1B3" w14:textId="312C7E96" w:rsidR="006B28CD" w:rsidRDefault="006B28CD" w:rsidP="00583048">
            <w:pPr>
              <w:pStyle w:val="Bijschrift"/>
              <w:jc w:val="right"/>
              <w:rPr>
                <w:rFonts w:ascii="Helvetica" w:hAnsi="Helvetica" w:cs="Arial"/>
                <w:lang w:val="en-US"/>
              </w:rPr>
            </w:pPr>
            <w:r>
              <w:rPr>
                <w:rFonts w:ascii="Helvetica" w:hAnsi="Helvetica" w:cs="Arial"/>
                <w:lang w:val="en-US"/>
              </w:rPr>
              <w:t>1.241,4</w:t>
            </w:r>
          </w:p>
        </w:tc>
        <w:tc>
          <w:tcPr>
            <w:tcW w:w="1134" w:type="dxa"/>
            <w:tcBorders>
              <w:top w:val="single" w:sz="4" w:space="0" w:color="auto"/>
              <w:left w:val="single" w:sz="4" w:space="0" w:color="auto"/>
              <w:bottom w:val="single" w:sz="4" w:space="0" w:color="auto"/>
              <w:right w:val="single" w:sz="4" w:space="0" w:color="auto"/>
            </w:tcBorders>
          </w:tcPr>
          <w:p w14:paraId="1DD5666E" w14:textId="795293DB" w:rsidR="006B28CD" w:rsidRDefault="006B28CD" w:rsidP="00583048">
            <w:pPr>
              <w:pStyle w:val="Bijschrift"/>
              <w:jc w:val="right"/>
              <w:rPr>
                <w:rFonts w:ascii="Helvetica" w:hAnsi="Helvetica" w:cs="Arial"/>
                <w:lang w:val="en-US"/>
              </w:rPr>
            </w:pPr>
            <w:r>
              <w:rPr>
                <w:rFonts w:ascii="Helvetica" w:hAnsi="Helvetica" w:cs="Arial"/>
                <w:lang w:val="en-US"/>
              </w:rPr>
              <w:t>1.209,5</w:t>
            </w:r>
          </w:p>
        </w:tc>
        <w:tc>
          <w:tcPr>
            <w:tcW w:w="1134" w:type="dxa"/>
            <w:tcBorders>
              <w:top w:val="single" w:sz="4" w:space="0" w:color="auto"/>
              <w:left w:val="single" w:sz="4" w:space="0" w:color="auto"/>
              <w:bottom w:val="single" w:sz="4" w:space="0" w:color="auto"/>
              <w:right w:val="single" w:sz="4" w:space="0" w:color="auto"/>
            </w:tcBorders>
          </w:tcPr>
          <w:p w14:paraId="1C55E20F" w14:textId="3B4686AB" w:rsidR="006B28CD" w:rsidRDefault="006B28CD" w:rsidP="00583048">
            <w:pPr>
              <w:pStyle w:val="Bijschrift"/>
              <w:jc w:val="right"/>
              <w:rPr>
                <w:rFonts w:ascii="Helvetica" w:hAnsi="Helvetica" w:cs="Arial"/>
                <w:lang w:val="en-US"/>
              </w:rPr>
            </w:pPr>
            <w:r>
              <w:rPr>
                <w:rFonts w:ascii="Helvetica" w:hAnsi="Helvetica" w:cs="Arial"/>
                <w:lang w:val="en-US"/>
              </w:rPr>
              <w:t>1.133,9</w:t>
            </w:r>
          </w:p>
        </w:tc>
        <w:tc>
          <w:tcPr>
            <w:tcW w:w="1276" w:type="dxa"/>
            <w:tcBorders>
              <w:top w:val="single" w:sz="4" w:space="0" w:color="auto"/>
              <w:left w:val="single" w:sz="4" w:space="0" w:color="auto"/>
              <w:bottom w:val="single" w:sz="4" w:space="0" w:color="auto"/>
              <w:right w:val="single" w:sz="4" w:space="0" w:color="auto"/>
            </w:tcBorders>
          </w:tcPr>
          <w:p w14:paraId="75AC2E3F" w14:textId="753F6693" w:rsidR="006B28CD" w:rsidRDefault="00D32FDA" w:rsidP="00583048">
            <w:pPr>
              <w:pStyle w:val="Bijschrift"/>
              <w:jc w:val="right"/>
              <w:rPr>
                <w:rFonts w:ascii="Helvetica" w:hAnsi="Helvetica" w:cs="Arial"/>
                <w:lang w:val="en-US"/>
              </w:rPr>
            </w:pPr>
            <w:r>
              <w:rPr>
                <w:rFonts w:ascii="Helvetica" w:hAnsi="Helvetica" w:cs="Arial"/>
                <w:lang w:val="en-US"/>
              </w:rPr>
              <w:t>1</w:t>
            </w:r>
            <w:r w:rsidR="006B28CD">
              <w:rPr>
                <w:rFonts w:ascii="Helvetica" w:hAnsi="Helvetica" w:cs="Arial"/>
                <w:lang w:val="en-US"/>
              </w:rPr>
              <w:t>0</w:t>
            </w:r>
            <w:r>
              <w:rPr>
                <w:rFonts w:ascii="Helvetica" w:hAnsi="Helvetica" w:cs="Arial"/>
                <w:lang w:val="en-US"/>
              </w:rPr>
              <w:t>,1</w:t>
            </w:r>
          </w:p>
        </w:tc>
      </w:tr>
      <w:tr w:rsidR="006B28CD" w:rsidRPr="00B77E6A" w14:paraId="2BCA4AAF" w14:textId="77777777" w:rsidTr="006B28CD">
        <w:trPr>
          <w:trHeight w:val="244"/>
        </w:trPr>
        <w:tc>
          <w:tcPr>
            <w:tcW w:w="3158" w:type="dxa"/>
            <w:tcBorders>
              <w:top w:val="single" w:sz="4" w:space="0" w:color="auto"/>
            </w:tcBorders>
            <w:shd w:val="clear" w:color="auto" w:fill="C2D69B" w:themeFill="accent3" w:themeFillTint="99"/>
            <w:noWrap/>
            <w:vAlign w:val="bottom"/>
          </w:tcPr>
          <w:p w14:paraId="1BCFE758" w14:textId="77777777" w:rsidR="006B28CD" w:rsidRPr="002537AE" w:rsidRDefault="006B28CD" w:rsidP="00583048">
            <w:pPr>
              <w:pStyle w:val="Bijschrift"/>
              <w:rPr>
                <w:rFonts w:ascii="Helvetica" w:hAnsi="Helvetica" w:cs="Arial"/>
                <w:lang w:val="en-US"/>
              </w:rPr>
            </w:pPr>
          </w:p>
        </w:tc>
        <w:tc>
          <w:tcPr>
            <w:tcW w:w="992" w:type="dxa"/>
            <w:tcBorders>
              <w:top w:val="single" w:sz="4" w:space="0" w:color="auto"/>
            </w:tcBorders>
            <w:shd w:val="clear" w:color="auto" w:fill="C2D69B" w:themeFill="accent3" w:themeFillTint="99"/>
            <w:vAlign w:val="bottom"/>
          </w:tcPr>
          <w:p w14:paraId="11EAEA3F" w14:textId="77777777" w:rsidR="006B28CD" w:rsidRPr="002537AE" w:rsidRDefault="006B28CD" w:rsidP="00583048">
            <w:pPr>
              <w:pStyle w:val="Bijschrift"/>
              <w:jc w:val="right"/>
              <w:rPr>
                <w:rFonts w:ascii="Helvetica" w:hAnsi="Helvetica" w:cs="Arial"/>
                <w:lang w:val="en-US"/>
              </w:rPr>
            </w:pPr>
          </w:p>
        </w:tc>
        <w:tc>
          <w:tcPr>
            <w:tcW w:w="1134" w:type="dxa"/>
            <w:tcBorders>
              <w:top w:val="single" w:sz="4" w:space="0" w:color="auto"/>
            </w:tcBorders>
            <w:shd w:val="clear" w:color="auto" w:fill="C2D69B" w:themeFill="accent3" w:themeFillTint="99"/>
          </w:tcPr>
          <w:p w14:paraId="689A8F0D" w14:textId="77777777" w:rsidR="006B28CD" w:rsidRPr="002537AE" w:rsidRDefault="006B28CD" w:rsidP="00583048">
            <w:pPr>
              <w:pStyle w:val="Bijschrift"/>
              <w:jc w:val="right"/>
              <w:rPr>
                <w:rFonts w:ascii="Helvetica" w:hAnsi="Helvetica" w:cs="Arial"/>
                <w:lang w:val="en-US"/>
              </w:rPr>
            </w:pPr>
          </w:p>
        </w:tc>
        <w:tc>
          <w:tcPr>
            <w:tcW w:w="1134" w:type="dxa"/>
            <w:tcBorders>
              <w:top w:val="single" w:sz="4" w:space="0" w:color="auto"/>
            </w:tcBorders>
            <w:shd w:val="clear" w:color="auto" w:fill="C2D69B" w:themeFill="accent3" w:themeFillTint="99"/>
          </w:tcPr>
          <w:p w14:paraId="7E73E002" w14:textId="77777777" w:rsidR="006B28CD" w:rsidRPr="002537AE" w:rsidRDefault="006B28CD" w:rsidP="00583048">
            <w:pPr>
              <w:pStyle w:val="Bijschrift"/>
              <w:jc w:val="right"/>
              <w:rPr>
                <w:rFonts w:ascii="Helvetica" w:hAnsi="Helvetica" w:cs="Arial"/>
                <w:lang w:val="en-US"/>
              </w:rPr>
            </w:pPr>
          </w:p>
        </w:tc>
        <w:tc>
          <w:tcPr>
            <w:tcW w:w="1134" w:type="dxa"/>
            <w:tcBorders>
              <w:top w:val="single" w:sz="4" w:space="0" w:color="auto"/>
            </w:tcBorders>
            <w:shd w:val="clear" w:color="auto" w:fill="C2D69B" w:themeFill="accent3" w:themeFillTint="99"/>
          </w:tcPr>
          <w:p w14:paraId="5D7878C1" w14:textId="77777777" w:rsidR="006B28CD" w:rsidRPr="002537AE" w:rsidRDefault="006B28CD" w:rsidP="00583048">
            <w:pPr>
              <w:pStyle w:val="Bijschrift"/>
              <w:jc w:val="right"/>
              <w:rPr>
                <w:rFonts w:ascii="Helvetica" w:hAnsi="Helvetica" w:cs="Arial"/>
                <w:lang w:val="en-US"/>
              </w:rPr>
            </w:pPr>
          </w:p>
        </w:tc>
        <w:tc>
          <w:tcPr>
            <w:tcW w:w="1134" w:type="dxa"/>
            <w:tcBorders>
              <w:top w:val="single" w:sz="4" w:space="0" w:color="auto"/>
            </w:tcBorders>
            <w:shd w:val="clear" w:color="auto" w:fill="C2D69B" w:themeFill="accent3" w:themeFillTint="99"/>
          </w:tcPr>
          <w:p w14:paraId="6D6DEAC9" w14:textId="77777777" w:rsidR="006B28CD" w:rsidRPr="002537AE" w:rsidRDefault="006B28CD" w:rsidP="00583048">
            <w:pPr>
              <w:pStyle w:val="Bijschrift"/>
              <w:jc w:val="right"/>
              <w:rPr>
                <w:rFonts w:ascii="Helvetica" w:hAnsi="Helvetica" w:cs="Arial"/>
                <w:lang w:val="en-US"/>
              </w:rPr>
            </w:pPr>
          </w:p>
        </w:tc>
        <w:tc>
          <w:tcPr>
            <w:tcW w:w="1276" w:type="dxa"/>
            <w:tcBorders>
              <w:top w:val="single" w:sz="4" w:space="0" w:color="auto"/>
            </w:tcBorders>
            <w:shd w:val="clear" w:color="auto" w:fill="C2D69B" w:themeFill="accent3" w:themeFillTint="99"/>
          </w:tcPr>
          <w:p w14:paraId="1307C2D6" w14:textId="77777777" w:rsidR="006B28CD" w:rsidRPr="002537AE" w:rsidRDefault="006B28CD" w:rsidP="00583048">
            <w:pPr>
              <w:pStyle w:val="Bijschrift"/>
              <w:jc w:val="right"/>
              <w:rPr>
                <w:rFonts w:ascii="Helvetica" w:hAnsi="Helvetica" w:cs="Arial"/>
                <w:lang w:val="en-US"/>
              </w:rPr>
            </w:pPr>
          </w:p>
        </w:tc>
      </w:tr>
      <w:tr w:rsidR="006B28CD" w:rsidRPr="00B77E6A" w14:paraId="5DD7879A" w14:textId="77777777" w:rsidTr="006B28CD">
        <w:trPr>
          <w:trHeight w:val="244"/>
        </w:trPr>
        <w:tc>
          <w:tcPr>
            <w:tcW w:w="3158" w:type="dxa"/>
            <w:shd w:val="clear" w:color="auto" w:fill="auto"/>
            <w:noWrap/>
            <w:vAlign w:val="bottom"/>
          </w:tcPr>
          <w:p w14:paraId="0A9FE53B" w14:textId="77777777" w:rsidR="006B28CD" w:rsidRPr="002537AE" w:rsidRDefault="006B28CD" w:rsidP="00583048">
            <w:pPr>
              <w:pStyle w:val="Bijschrift"/>
              <w:rPr>
                <w:rFonts w:ascii="Helvetica" w:hAnsi="Helvetica" w:cs="Arial"/>
                <w:lang w:val="en-US"/>
              </w:rPr>
            </w:pPr>
            <w:r w:rsidRPr="002537AE">
              <w:rPr>
                <w:rFonts w:ascii="Helvetica" w:hAnsi="Helvetica" w:cs="Arial"/>
                <w:lang w:val="en-US"/>
              </w:rPr>
              <w:t>Scope 2</w:t>
            </w:r>
          </w:p>
        </w:tc>
        <w:tc>
          <w:tcPr>
            <w:tcW w:w="992" w:type="dxa"/>
            <w:vAlign w:val="bottom"/>
          </w:tcPr>
          <w:p w14:paraId="3329D11D" w14:textId="77777777" w:rsidR="006B28CD" w:rsidRPr="002537AE" w:rsidRDefault="006B28CD" w:rsidP="00583048">
            <w:pPr>
              <w:pStyle w:val="Bijschrift"/>
              <w:jc w:val="right"/>
              <w:rPr>
                <w:rFonts w:ascii="Helvetica" w:hAnsi="Helvetica" w:cs="Arial"/>
                <w:lang w:val="en-US"/>
              </w:rPr>
            </w:pPr>
          </w:p>
        </w:tc>
        <w:tc>
          <w:tcPr>
            <w:tcW w:w="1134" w:type="dxa"/>
          </w:tcPr>
          <w:p w14:paraId="63339888" w14:textId="77777777" w:rsidR="006B28CD" w:rsidRPr="002537AE" w:rsidRDefault="006B28CD" w:rsidP="00583048">
            <w:pPr>
              <w:pStyle w:val="Bijschrift"/>
              <w:jc w:val="right"/>
              <w:rPr>
                <w:rFonts w:ascii="Helvetica" w:hAnsi="Helvetica" w:cs="Arial"/>
                <w:lang w:val="en-US"/>
              </w:rPr>
            </w:pPr>
          </w:p>
        </w:tc>
        <w:tc>
          <w:tcPr>
            <w:tcW w:w="1134" w:type="dxa"/>
          </w:tcPr>
          <w:p w14:paraId="5EAAAC91" w14:textId="77777777" w:rsidR="006B28CD" w:rsidRPr="002537AE" w:rsidRDefault="006B28CD" w:rsidP="00583048">
            <w:pPr>
              <w:pStyle w:val="Bijschrift"/>
              <w:jc w:val="right"/>
              <w:rPr>
                <w:rFonts w:ascii="Helvetica" w:hAnsi="Helvetica" w:cs="Arial"/>
                <w:lang w:val="en-US"/>
              </w:rPr>
            </w:pPr>
          </w:p>
        </w:tc>
        <w:tc>
          <w:tcPr>
            <w:tcW w:w="1134" w:type="dxa"/>
          </w:tcPr>
          <w:p w14:paraId="09D29F6B" w14:textId="77777777" w:rsidR="006B28CD" w:rsidRPr="002537AE" w:rsidRDefault="006B28CD" w:rsidP="00583048">
            <w:pPr>
              <w:pStyle w:val="Bijschrift"/>
              <w:jc w:val="right"/>
              <w:rPr>
                <w:rFonts w:ascii="Helvetica" w:hAnsi="Helvetica" w:cs="Arial"/>
                <w:lang w:val="en-US"/>
              </w:rPr>
            </w:pPr>
          </w:p>
        </w:tc>
        <w:tc>
          <w:tcPr>
            <w:tcW w:w="1134" w:type="dxa"/>
          </w:tcPr>
          <w:p w14:paraId="02BC8F42" w14:textId="77777777" w:rsidR="006B28CD" w:rsidRPr="002537AE" w:rsidRDefault="006B28CD" w:rsidP="00583048">
            <w:pPr>
              <w:pStyle w:val="Bijschrift"/>
              <w:jc w:val="right"/>
              <w:rPr>
                <w:rFonts w:ascii="Helvetica" w:hAnsi="Helvetica" w:cs="Arial"/>
                <w:lang w:val="en-US"/>
              </w:rPr>
            </w:pPr>
          </w:p>
        </w:tc>
        <w:tc>
          <w:tcPr>
            <w:tcW w:w="1276" w:type="dxa"/>
          </w:tcPr>
          <w:p w14:paraId="4B6ADE1B" w14:textId="77777777" w:rsidR="006B28CD" w:rsidRPr="002537AE" w:rsidRDefault="006B28CD" w:rsidP="00583048">
            <w:pPr>
              <w:pStyle w:val="Bijschrift"/>
              <w:jc w:val="right"/>
              <w:rPr>
                <w:rFonts w:ascii="Helvetica" w:hAnsi="Helvetica" w:cs="Arial"/>
                <w:lang w:val="en-US"/>
              </w:rPr>
            </w:pPr>
          </w:p>
        </w:tc>
      </w:tr>
      <w:tr w:rsidR="006B28CD" w:rsidRPr="00B77E6A" w14:paraId="538B2EBD" w14:textId="77777777" w:rsidTr="006B28CD">
        <w:trPr>
          <w:trHeight w:val="244"/>
        </w:trPr>
        <w:tc>
          <w:tcPr>
            <w:tcW w:w="3158" w:type="dxa"/>
            <w:shd w:val="clear" w:color="auto" w:fill="auto"/>
            <w:noWrap/>
            <w:vAlign w:val="bottom"/>
          </w:tcPr>
          <w:p w14:paraId="3079F7F6" w14:textId="77777777" w:rsidR="006B28CD" w:rsidRPr="002537AE" w:rsidRDefault="006B28CD" w:rsidP="00583048">
            <w:pPr>
              <w:pStyle w:val="Bijschrift"/>
              <w:rPr>
                <w:rFonts w:ascii="Helvetica" w:hAnsi="Helvetica" w:cs="Arial"/>
              </w:rPr>
            </w:pPr>
            <w:r w:rsidRPr="002537AE">
              <w:rPr>
                <w:rFonts w:ascii="Helvetica" w:hAnsi="Helvetica" w:cs="Arial"/>
              </w:rPr>
              <w:t>Elektraverbruik</w:t>
            </w:r>
            <w:r>
              <w:rPr>
                <w:rFonts w:ascii="Helvetica" w:hAnsi="Helvetica" w:cs="Arial"/>
              </w:rPr>
              <w:t xml:space="preserve"> -</w:t>
            </w:r>
            <w:r w:rsidRPr="002537AE">
              <w:rPr>
                <w:rFonts w:ascii="Helvetica" w:hAnsi="Helvetica" w:cs="Arial"/>
              </w:rPr>
              <w:t xml:space="preserve"> </w:t>
            </w:r>
            <w:r>
              <w:rPr>
                <w:rFonts w:ascii="Helvetica" w:hAnsi="Helvetica" w:cs="Arial"/>
              </w:rPr>
              <w:t>Noorderbrug</w:t>
            </w:r>
          </w:p>
        </w:tc>
        <w:tc>
          <w:tcPr>
            <w:tcW w:w="992" w:type="dxa"/>
            <w:vAlign w:val="bottom"/>
          </w:tcPr>
          <w:p w14:paraId="522A6A1D" w14:textId="77777777" w:rsidR="006B28CD" w:rsidRPr="002537AE" w:rsidRDefault="006B28CD" w:rsidP="00583048">
            <w:pPr>
              <w:pStyle w:val="Bijschrift"/>
              <w:jc w:val="right"/>
              <w:rPr>
                <w:rFonts w:ascii="Helvetica" w:hAnsi="Helvetica" w:cs="Arial"/>
                <w:lang w:val="en-US"/>
              </w:rPr>
            </w:pPr>
            <w:r>
              <w:rPr>
                <w:rFonts w:ascii="Helvetica" w:hAnsi="Helvetica" w:cs="Arial"/>
                <w:lang w:val="en-US"/>
              </w:rPr>
              <w:t>2,4</w:t>
            </w:r>
          </w:p>
        </w:tc>
        <w:tc>
          <w:tcPr>
            <w:tcW w:w="1134" w:type="dxa"/>
          </w:tcPr>
          <w:p w14:paraId="53B808BC" w14:textId="77777777"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tcPr>
          <w:p w14:paraId="44882863" w14:textId="4184280E"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tcPr>
          <w:p w14:paraId="0FD543C4" w14:textId="6FFF3AB5"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tcPr>
          <w:p w14:paraId="588A7F41" w14:textId="62A9EFC6"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276" w:type="dxa"/>
          </w:tcPr>
          <w:p w14:paraId="2468622D" w14:textId="6F0FDC80" w:rsidR="006B28CD" w:rsidRDefault="006B28CD" w:rsidP="00583048">
            <w:pPr>
              <w:pStyle w:val="Bijschrift"/>
              <w:jc w:val="right"/>
              <w:rPr>
                <w:rFonts w:ascii="Helvetica" w:hAnsi="Helvetica" w:cs="Arial"/>
                <w:lang w:val="en-US"/>
              </w:rPr>
            </w:pPr>
            <w:r>
              <w:rPr>
                <w:rFonts w:ascii="Helvetica" w:hAnsi="Helvetica" w:cs="Arial"/>
                <w:lang w:val="en-US"/>
              </w:rPr>
              <w:t>0</w:t>
            </w:r>
          </w:p>
        </w:tc>
      </w:tr>
      <w:tr w:rsidR="006B28CD" w:rsidRPr="00B77E6A" w14:paraId="505F0235" w14:textId="77777777" w:rsidTr="006B28CD">
        <w:trPr>
          <w:trHeight w:val="244"/>
        </w:trPr>
        <w:tc>
          <w:tcPr>
            <w:tcW w:w="3158" w:type="dxa"/>
            <w:tcBorders>
              <w:bottom w:val="single" w:sz="8" w:space="0" w:color="auto"/>
            </w:tcBorders>
            <w:shd w:val="clear" w:color="auto" w:fill="C2D69B" w:themeFill="accent3" w:themeFillTint="99"/>
            <w:noWrap/>
            <w:vAlign w:val="bottom"/>
          </w:tcPr>
          <w:p w14:paraId="1D8CF310" w14:textId="77777777" w:rsidR="006B28CD" w:rsidRPr="002537AE" w:rsidRDefault="006B28CD" w:rsidP="00583048">
            <w:pPr>
              <w:pStyle w:val="Bijschrift"/>
              <w:rPr>
                <w:rFonts w:ascii="Helvetica" w:hAnsi="Helvetica" w:cs="Arial"/>
              </w:rPr>
            </w:pPr>
            <w:r>
              <w:rPr>
                <w:rFonts w:ascii="Helvetica" w:hAnsi="Helvetica" w:cs="Arial"/>
              </w:rPr>
              <w:t>Elektraverbruik - Lutkedijk</w:t>
            </w:r>
          </w:p>
        </w:tc>
        <w:tc>
          <w:tcPr>
            <w:tcW w:w="992" w:type="dxa"/>
            <w:tcBorders>
              <w:bottom w:val="single" w:sz="8" w:space="0" w:color="auto"/>
            </w:tcBorders>
            <w:shd w:val="clear" w:color="auto" w:fill="C2D69B" w:themeFill="accent3" w:themeFillTint="99"/>
            <w:vAlign w:val="bottom"/>
          </w:tcPr>
          <w:p w14:paraId="43555D97" w14:textId="77777777" w:rsidR="006B28CD" w:rsidRPr="002537AE" w:rsidRDefault="006B28CD" w:rsidP="00583048">
            <w:pPr>
              <w:pStyle w:val="Bijschrift"/>
              <w:jc w:val="right"/>
              <w:rPr>
                <w:rFonts w:ascii="Helvetica" w:hAnsi="Helvetica" w:cs="Arial"/>
                <w:lang w:val="en-US"/>
              </w:rPr>
            </w:pPr>
            <w:r>
              <w:rPr>
                <w:rFonts w:ascii="Helvetica" w:hAnsi="Helvetica" w:cs="Arial"/>
                <w:lang w:val="en-US"/>
              </w:rPr>
              <w:t>34.1</w:t>
            </w:r>
          </w:p>
        </w:tc>
        <w:tc>
          <w:tcPr>
            <w:tcW w:w="1134" w:type="dxa"/>
            <w:tcBorders>
              <w:bottom w:val="single" w:sz="8" w:space="0" w:color="auto"/>
            </w:tcBorders>
            <w:shd w:val="clear" w:color="auto" w:fill="C2D69B" w:themeFill="accent3" w:themeFillTint="99"/>
          </w:tcPr>
          <w:p w14:paraId="3854A5BF" w14:textId="77777777"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tcBorders>
              <w:bottom w:val="single" w:sz="8" w:space="0" w:color="auto"/>
            </w:tcBorders>
            <w:shd w:val="clear" w:color="auto" w:fill="C2D69B" w:themeFill="accent3" w:themeFillTint="99"/>
          </w:tcPr>
          <w:p w14:paraId="3ED4324A" w14:textId="0601845F"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tcBorders>
              <w:bottom w:val="single" w:sz="8" w:space="0" w:color="auto"/>
            </w:tcBorders>
            <w:shd w:val="clear" w:color="auto" w:fill="C2D69B" w:themeFill="accent3" w:themeFillTint="99"/>
          </w:tcPr>
          <w:p w14:paraId="15E18B70" w14:textId="2D7C1F3A"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tcBorders>
              <w:bottom w:val="single" w:sz="8" w:space="0" w:color="auto"/>
            </w:tcBorders>
            <w:shd w:val="clear" w:color="auto" w:fill="C2D69B" w:themeFill="accent3" w:themeFillTint="99"/>
          </w:tcPr>
          <w:p w14:paraId="54B6295C" w14:textId="2C606848"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276" w:type="dxa"/>
            <w:tcBorders>
              <w:bottom w:val="single" w:sz="8" w:space="0" w:color="auto"/>
            </w:tcBorders>
            <w:shd w:val="clear" w:color="auto" w:fill="C2D69B" w:themeFill="accent3" w:themeFillTint="99"/>
          </w:tcPr>
          <w:p w14:paraId="74071FE1" w14:textId="10069A9D" w:rsidR="006B28CD" w:rsidRDefault="006B28CD" w:rsidP="00583048">
            <w:pPr>
              <w:pStyle w:val="Bijschrift"/>
              <w:jc w:val="right"/>
              <w:rPr>
                <w:rFonts w:ascii="Helvetica" w:hAnsi="Helvetica" w:cs="Arial"/>
                <w:lang w:val="en-US"/>
              </w:rPr>
            </w:pPr>
            <w:r>
              <w:rPr>
                <w:rFonts w:ascii="Helvetica" w:hAnsi="Helvetica" w:cs="Arial"/>
                <w:lang w:val="en-US"/>
              </w:rPr>
              <w:t>0</w:t>
            </w:r>
          </w:p>
        </w:tc>
      </w:tr>
      <w:tr w:rsidR="006B28CD" w:rsidRPr="00B77E6A" w14:paraId="457E0061" w14:textId="77777777" w:rsidTr="006B28CD">
        <w:trPr>
          <w:trHeight w:val="259"/>
        </w:trPr>
        <w:tc>
          <w:tcPr>
            <w:tcW w:w="3158" w:type="dxa"/>
            <w:tcBorders>
              <w:bottom w:val="single" w:sz="8" w:space="0" w:color="auto"/>
              <w:right w:val="nil"/>
            </w:tcBorders>
            <w:shd w:val="clear" w:color="auto" w:fill="auto"/>
            <w:noWrap/>
            <w:vAlign w:val="bottom"/>
          </w:tcPr>
          <w:p w14:paraId="67E494AD" w14:textId="77777777" w:rsidR="006B28CD" w:rsidRPr="002537AE" w:rsidRDefault="006B28CD" w:rsidP="00583048">
            <w:pPr>
              <w:pStyle w:val="Bijschrift"/>
              <w:rPr>
                <w:rFonts w:ascii="Helvetica" w:hAnsi="Helvetica" w:cs="Arial"/>
              </w:rPr>
            </w:pPr>
          </w:p>
        </w:tc>
        <w:tc>
          <w:tcPr>
            <w:tcW w:w="992" w:type="dxa"/>
            <w:tcBorders>
              <w:bottom w:val="single" w:sz="8" w:space="0" w:color="auto"/>
              <w:right w:val="nil"/>
            </w:tcBorders>
            <w:vAlign w:val="bottom"/>
          </w:tcPr>
          <w:p w14:paraId="4728A07E" w14:textId="77777777" w:rsidR="006B28CD" w:rsidRPr="002537AE" w:rsidRDefault="006B28CD" w:rsidP="00583048">
            <w:pPr>
              <w:pStyle w:val="Bijschrift"/>
              <w:jc w:val="right"/>
              <w:rPr>
                <w:rFonts w:ascii="Helvetica" w:hAnsi="Helvetica" w:cs="Arial"/>
                <w:lang w:val="en-US"/>
              </w:rPr>
            </w:pPr>
          </w:p>
        </w:tc>
        <w:tc>
          <w:tcPr>
            <w:tcW w:w="1134" w:type="dxa"/>
            <w:tcBorders>
              <w:left w:val="nil"/>
              <w:bottom w:val="single" w:sz="8" w:space="0" w:color="auto"/>
              <w:right w:val="nil"/>
            </w:tcBorders>
          </w:tcPr>
          <w:p w14:paraId="35209C0B" w14:textId="77777777" w:rsidR="006B28CD" w:rsidRPr="002537AE" w:rsidRDefault="006B28CD" w:rsidP="00583048">
            <w:pPr>
              <w:pStyle w:val="Bijschrift"/>
              <w:jc w:val="right"/>
              <w:rPr>
                <w:rFonts w:ascii="Helvetica" w:hAnsi="Helvetica" w:cs="Arial"/>
                <w:lang w:val="en-US"/>
              </w:rPr>
            </w:pPr>
          </w:p>
        </w:tc>
        <w:tc>
          <w:tcPr>
            <w:tcW w:w="1134" w:type="dxa"/>
            <w:tcBorders>
              <w:left w:val="nil"/>
              <w:bottom w:val="single" w:sz="8" w:space="0" w:color="auto"/>
              <w:right w:val="nil"/>
            </w:tcBorders>
          </w:tcPr>
          <w:p w14:paraId="4C3C5A2A" w14:textId="77777777" w:rsidR="006B28CD" w:rsidRPr="002537AE" w:rsidRDefault="006B28CD" w:rsidP="00583048">
            <w:pPr>
              <w:pStyle w:val="Bijschrift"/>
              <w:jc w:val="right"/>
              <w:rPr>
                <w:rFonts w:ascii="Helvetica" w:hAnsi="Helvetica" w:cs="Arial"/>
                <w:lang w:val="en-US"/>
              </w:rPr>
            </w:pPr>
          </w:p>
        </w:tc>
        <w:tc>
          <w:tcPr>
            <w:tcW w:w="1134" w:type="dxa"/>
            <w:tcBorders>
              <w:left w:val="nil"/>
              <w:bottom w:val="single" w:sz="8" w:space="0" w:color="auto"/>
              <w:right w:val="nil"/>
            </w:tcBorders>
          </w:tcPr>
          <w:p w14:paraId="3D7E7991" w14:textId="77777777" w:rsidR="006B28CD" w:rsidRPr="002537AE" w:rsidRDefault="006B28CD" w:rsidP="00583048">
            <w:pPr>
              <w:pStyle w:val="Bijschrift"/>
              <w:jc w:val="right"/>
              <w:rPr>
                <w:rFonts w:ascii="Helvetica" w:hAnsi="Helvetica" w:cs="Arial"/>
                <w:lang w:val="en-US"/>
              </w:rPr>
            </w:pPr>
          </w:p>
        </w:tc>
        <w:tc>
          <w:tcPr>
            <w:tcW w:w="1134" w:type="dxa"/>
            <w:tcBorders>
              <w:left w:val="nil"/>
              <w:bottom w:val="single" w:sz="8" w:space="0" w:color="auto"/>
              <w:right w:val="nil"/>
            </w:tcBorders>
          </w:tcPr>
          <w:p w14:paraId="004C6C7B" w14:textId="77777777" w:rsidR="006B28CD" w:rsidRPr="002537AE" w:rsidRDefault="006B28CD" w:rsidP="00583048">
            <w:pPr>
              <w:pStyle w:val="Bijschrift"/>
              <w:jc w:val="right"/>
              <w:rPr>
                <w:rFonts w:ascii="Helvetica" w:hAnsi="Helvetica" w:cs="Arial"/>
                <w:lang w:val="en-US"/>
              </w:rPr>
            </w:pPr>
          </w:p>
        </w:tc>
        <w:tc>
          <w:tcPr>
            <w:tcW w:w="1276" w:type="dxa"/>
            <w:tcBorders>
              <w:left w:val="nil"/>
              <w:bottom w:val="single" w:sz="8" w:space="0" w:color="auto"/>
              <w:right w:val="nil"/>
            </w:tcBorders>
          </w:tcPr>
          <w:p w14:paraId="439BA7B7" w14:textId="77777777" w:rsidR="006B28CD" w:rsidRPr="002537AE" w:rsidRDefault="006B28CD" w:rsidP="00583048">
            <w:pPr>
              <w:pStyle w:val="Bijschrift"/>
              <w:jc w:val="right"/>
              <w:rPr>
                <w:rFonts w:ascii="Helvetica" w:hAnsi="Helvetica" w:cs="Arial"/>
                <w:lang w:val="en-US"/>
              </w:rPr>
            </w:pPr>
          </w:p>
        </w:tc>
      </w:tr>
      <w:tr w:rsidR="006B28CD" w:rsidRPr="00B77E6A" w14:paraId="5A4F265B" w14:textId="77777777" w:rsidTr="006B28CD">
        <w:trPr>
          <w:trHeight w:val="259"/>
        </w:trPr>
        <w:tc>
          <w:tcPr>
            <w:tcW w:w="3158" w:type="dxa"/>
            <w:shd w:val="clear" w:color="auto" w:fill="C2D69B" w:themeFill="accent3" w:themeFillTint="99"/>
            <w:noWrap/>
            <w:vAlign w:val="bottom"/>
          </w:tcPr>
          <w:p w14:paraId="0DE16E78" w14:textId="77777777" w:rsidR="006B28CD" w:rsidRPr="002537AE" w:rsidRDefault="006B28CD" w:rsidP="00583048">
            <w:pPr>
              <w:pStyle w:val="Bijschrift"/>
              <w:rPr>
                <w:rFonts w:ascii="Helvetica" w:hAnsi="Helvetica" w:cs="Arial"/>
                <w:lang w:val="en-US"/>
              </w:rPr>
            </w:pPr>
            <w:proofErr w:type="spellStart"/>
            <w:r w:rsidRPr="002537AE">
              <w:rPr>
                <w:rFonts w:ascii="Helvetica" w:hAnsi="Helvetica" w:cs="Arial"/>
                <w:lang w:val="en-US"/>
              </w:rPr>
              <w:t>Totaal</w:t>
            </w:r>
            <w:proofErr w:type="spellEnd"/>
            <w:r w:rsidRPr="002537AE">
              <w:rPr>
                <w:rFonts w:ascii="Helvetica" w:hAnsi="Helvetica" w:cs="Arial"/>
                <w:lang w:val="en-US"/>
              </w:rPr>
              <w:t xml:space="preserve"> scope 2</w:t>
            </w:r>
          </w:p>
        </w:tc>
        <w:tc>
          <w:tcPr>
            <w:tcW w:w="992" w:type="dxa"/>
            <w:shd w:val="clear" w:color="auto" w:fill="C2D69B" w:themeFill="accent3" w:themeFillTint="99"/>
            <w:vAlign w:val="bottom"/>
          </w:tcPr>
          <w:p w14:paraId="1C57B448" w14:textId="77777777" w:rsidR="006B28CD" w:rsidRPr="002537AE" w:rsidRDefault="006B28CD" w:rsidP="00583048">
            <w:pPr>
              <w:pStyle w:val="Bijschrift"/>
              <w:jc w:val="right"/>
              <w:rPr>
                <w:rFonts w:ascii="Helvetica" w:hAnsi="Helvetica" w:cs="Arial"/>
                <w:lang w:val="en-US"/>
              </w:rPr>
            </w:pPr>
            <w:r>
              <w:rPr>
                <w:rFonts w:ascii="Helvetica" w:hAnsi="Helvetica" w:cs="Arial"/>
                <w:lang w:val="en-US"/>
              </w:rPr>
              <w:t>36.5</w:t>
            </w:r>
          </w:p>
        </w:tc>
        <w:tc>
          <w:tcPr>
            <w:tcW w:w="1134" w:type="dxa"/>
            <w:shd w:val="clear" w:color="auto" w:fill="C2D69B" w:themeFill="accent3" w:themeFillTint="99"/>
          </w:tcPr>
          <w:p w14:paraId="60331E1D" w14:textId="77777777"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shd w:val="clear" w:color="auto" w:fill="C2D69B" w:themeFill="accent3" w:themeFillTint="99"/>
          </w:tcPr>
          <w:p w14:paraId="56D0BD57" w14:textId="033FD77A"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shd w:val="clear" w:color="auto" w:fill="C2D69B" w:themeFill="accent3" w:themeFillTint="99"/>
          </w:tcPr>
          <w:p w14:paraId="05C37038" w14:textId="0DC6B616"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shd w:val="clear" w:color="auto" w:fill="C2D69B" w:themeFill="accent3" w:themeFillTint="99"/>
          </w:tcPr>
          <w:p w14:paraId="4CEF41D0" w14:textId="098D5479"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276" w:type="dxa"/>
            <w:shd w:val="clear" w:color="auto" w:fill="C2D69B" w:themeFill="accent3" w:themeFillTint="99"/>
          </w:tcPr>
          <w:p w14:paraId="250C0CAE" w14:textId="4E9F92AE" w:rsidR="006B28CD" w:rsidRDefault="006B28CD" w:rsidP="00583048">
            <w:pPr>
              <w:pStyle w:val="Bijschrift"/>
              <w:jc w:val="right"/>
              <w:rPr>
                <w:rFonts w:ascii="Helvetica" w:hAnsi="Helvetica" w:cs="Arial"/>
                <w:lang w:val="en-US"/>
              </w:rPr>
            </w:pPr>
            <w:r>
              <w:rPr>
                <w:rFonts w:ascii="Helvetica" w:hAnsi="Helvetica" w:cs="Arial"/>
                <w:lang w:val="en-US"/>
              </w:rPr>
              <w:t>0</w:t>
            </w:r>
          </w:p>
        </w:tc>
      </w:tr>
      <w:tr w:rsidR="006B28CD" w:rsidRPr="001870DE" w14:paraId="080C1136" w14:textId="77777777" w:rsidTr="006B28CD">
        <w:trPr>
          <w:trHeight w:val="259"/>
        </w:trPr>
        <w:tc>
          <w:tcPr>
            <w:tcW w:w="3158" w:type="dxa"/>
            <w:shd w:val="clear" w:color="auto" w:fill="auto"/>
            <w:noWrap/>
            <w:vAlign w:val="bottom"/>
          </w:tcPr>
          <w:p w14:paraId="297F6546" w14:textId="77777777" w:rsidR="006B28CD" w:rsidRPr="002537AE" w:rsidRDefault="006B28CD" w:rsidP="00583048">
            <w:pPr>
              <w:pStyle w:val="Bijschrift"/>
              <w:rPr>
                <w:rFonts w:ascii="Helvetica" w:hAnsi="Helvetica" w:cs="Arial"/>
                <w:lang w:val="en-US"/>
              </w:rPr>
            </w:pPr>
          </w:p>
        </w:tc>
        <w:tc>
          <w:tcPr>
            <w:tcW w:w="992" w:type="dxa"/>
            <w:shd w:val="clear" w:color="auto" w:fill="auto"/>
            <w:vAlign w:val="bottom"/>
          </w:tcPr>
          <w:p w14:paraId="175CFDB5" w14:textId="77777777" w:rsidR="006B28CD" w:rsidRPr="002537AE" w:rsidRDefault="006B28CD" w:rsidP="00583048">
            <w:pPr>
              <w:pStyle w:val="Bijschrift"/>
              <w:jc w:val="right"/>
              <w:rPr>
                <w:rFonts w:ascii="Helvetica" w:hAnsi="Helvetica" w:cs="Arial"/>
                <w:lang w:val="en-US"/>
              </w:rPr>
            </w:pPr>
          </w:p>
        </w:tc>
        <w:tc>
          <w:tcPr>
            <w:tcW w:w="1134" w:type="dxa"/>
          </w:tcPr>
          <w:p w14:paraId="354B205C" w14:textId="77777777" w:rsidR="006B28CD" w:rsidRPr="002537AE" w:rsidRDefault="006B28CD" w:rsidP="00583048">
            <w:pPr>
              <w:pStyle w:val="Bijschrift"/>
              <w:jc w:val="right"/>
              <w:rPr>
                <w:rFonts w:ascii="Helvetica" w:hAnsi="Helvetica" w:cs="Arial"/>
                <w:lang w:val="en-US"/>
              </w:rPr>
            </w:pPr>
          </w:p>
        </w:tc>
        <w:tc>
          <w:tcPr>
            <w:tcW w:w="1134" w:type="dxa"/>
          </w:tcPr>
          <w:p w14:paraId="17145B84" w14:textId="77777777" w:rsidR="006B28CD" w:rsidRPr="002537AE" w:rsidRDefault="006B28CD" w:rsidP="00583048">
            <w:pPr>
              <w:pStyle w:val="Bijschrift"/>
              <w:jc w:val="right"/>
              <w:rPr>
                <w:rFonts w:ascii="Helvetica" w:hAnsi="Helvetica" w:cs="Arial"/>
                <w:lang w:val="en-US"/>
              </w:rPr>
            </w:pPr>
          </w:p>
        </w:tc>
        <w:tc>
          <w:tcPr>
            <w:tcW w:w="1134" w:type="dxa"/>
          </w:tcPr>
          <w:p w14:paraId="71126F99" w14:textId="77777777" w:rsidR="006B28CD" w:rsidRPr="002537AE" w:rsidRDefault="006B28CD" w:rsidP="00583048">
            <w:pPr>
              <w:pStyle w:val="Bijschrift"/>
              <w:jc w:val="right"/>
              <w:rPr>
                <w:rFonts w:ascii="Helvetica" w:hAnsi="Helvetica" w:cs="Arial"/>
                <w:lang w:val="en-US"/>
              </w:rPr>
            </w:pPr>
          </w:p>
        </w:tc>
        <w:tc>
          <w:tcPr>
            <w:tcW w:w="1134" w:type="dxa"/>
          </w:tcPr>
          <w:p w14:paraId="0E690F3A" w14:textId="77777777" w:rsidR="006B28CD" w:rsidRPr="002537AE" w:rsidRDefault="006B28CD" w:rsidP="00583048">
            <w:pPr>
              <w:pStyle w:val="Bijschrift"/>
              <w:jc w:val="right"/>
              <w:rPr>
                <w:rFonts w:ascii="Helvetica" w:hAnsi="Helvetica" w:cs="Arial"/>
                <w:lang w:val="en-US"/>
              </w:rPr>
            </w:pPr>
          </w:p>
        </w:tc>
        <w:tc>
          <w:tcPr>
            <w:tcW w:w="1276" w:type="dxa"/>
          </w:tcPr>
          <w:p w14:paraId="14226F14" w14:textId="77777777" w:rsidR="006B28CD" w:rsidRPr="002537AE" w:rsidRDefault="006B28CD" w:rsidP="00583048">
            <w:pPr>
              <w:pStyle w:val="Bijschrift"/>
              <w:jc w:val="right"/>
              <w:rPr>
                <w:rFonts w:ascii="Helvetica" w:hAnsi="Helvetica" w:cs="Arial"/>
                <w:lang w:val="en-US"/>
              </w:rPr>
            </w:pPr>
          </w:p>
        </w:tc>
      </w:tr>
      <w:tr w:rsidR="006B28CD" w:rsidRPr="00B77E6A" w14:paraId="3CF32F8E" w14:textId="77777777" w:rsidTr="006B28CD">
        <w:trPr>
          <w:trHeight w:val="259"/>
        </w:trPr>
        <w:tc>
          <w:tcPr>
            <w:tcW w:w="3158" w:type="dxa"/>
            <w:shd w:val="clear" w:color="auto" w:fill="C2D69B" w:themeFill="accent3" w:themeFillTint="99"/>
            <w:noWrap/>
            <w:vAlign w:val="bottom"/>
          </w:tcPr>
          <w:p w14:paraId="51FCE7E8" w14:textId="77777777" w:rsidR="006B28CD" w:rsidRPr="002537AE" w:rsidRDefault="006B28CD" w:rsidP="00583048">
            <w:pPr>
              <w:pStyle w:val="Bijschrift"/>
              <w:rPr>
                <w:rFonts w:ascii="Helvetica" w:hAnsi="Helvetica" w:cs="Arial"/>
                <w:lang w:val="en-US"/>
              </w:rPr>
            </w:pPr>
            <w:proofErr w:type="spellStart"/>
            <w:r w:rsidRPr="002537AE">
              <w:rPr>
                <w:rFonts w:ascii="Helvetica" w:hAnsi="Helvetica" w:cs="Arial"/>
                <w:lang w:val="en-US"/>
              </w:rPr>
              <w:lastRenderedPageBreak/>
              <w:t>Totaal</w:t>
            </w:r>
            <w:proofErr w:type="spellEnd"/>
            <w:r w:rsidRPr="002537AE">
              <w:rPr>
                <w:rFonts w:ascii="Helvetica" w:hAnsi="Helvetica" w:cs="Arial"/>
                <w:lang w:val="en-US"/>
              </w:rPr>
              <w:t xml:space="preserve"> scope 1 &amp; 2</w:t>
            </w:r>
          </w:p>
        </w:tc>
        <w:tc>
          <w:tcPr>
            <w:tcW w:w="992" w:type="dxa"/>
            <w:shd w:val="clear" w:color="auto" w:fill="C2D69B" w:themeFill="accent3" w:themeFillTint="99"/>
            <w:vAlign w:val="bottom"/>
          </w:tcPr>
          <w:p w14:paraId="6E599E53" w14:textId="77777777" w:rsidR="006B28CD" w:rsidRPr="002537AE" w:rsidRDefault="006B28CD" w:rsidP="00583048">
            <w:pPr>
              <w:pStyle w:val="Bijschrift"/>
              <w:jc w:val="right"/>
              <w:rPr>
                <w:rFonts w:ascii="Helvetica" w:hAnsi="Helvetica" w:cs="Arial"/>
                <w:lang w:val="en-US"/>
              </w:rPr>
            </w:pPr>
            <w:r>
              <w:rPr>
                <w:rFonts w:ascii="Helvetica" w:hAnsi="Helvetica" w:cs="Arial"/>
                <w:lang w:val="en-US"/>
              </w:rPr>
              <w:t>1.167,1</w:t>
            </w:r>
          </w:p>
        </w:tc>
        <w:tc>
          <w:tcPr>
            <w:tcW w:w="1134" w:type="dxa"/>
            <w:shd w:val="clear" w:color="auto" w:fill="C2D69B" w:themeFill="accent3" w:themeFillTint="99"/>
          </w:tcPr>
          <w:p w14:paraId="0EF9AA8A" w14:textId="77777777" w:rsidR="006B28CD" w:rsidRDefault="006B28CD" w:rsidP="00583048">
            <w:pPr>
              <w:pStyle w:val="Bijschrift"/>
              <w:jc w:val="right"/>
              <w:rPr>
                <w:rFonts w:ascii="Helvetica" w:hAnsi="Helvetica" w:cs="Arial"/>
                <w:lang w:val="en-US"/>
              </w:rPr>
            </w:pPr>
            <w:r>
              <w:rPr>
                <w:rFonts w:ascii="Helvetica" w:hAnsi="Helvetica" w:cs="Arial"/>
                <w:lang w:val="en-US"/>
              </w:rPr>
              <w:t>1.261,3</w:t>
            </w:r>
          </w:p>
        </w:tc>
        <w:tc>
          <w:tcPr>
            <w:tcW w:w="1134" w:type="dxa"/>
            <w:shd w:val="clear" w:color="auto" w:fill="C2D69B" w:themeFill="accent3" w:themeFillTint="99"/>
          </w:tcPr>
          <w:p w14:paraId="5402E7DF" w14:textId="42F7D62D" w:rsidR="006B28CD" w:rsidRDefault="006B28CD" w:rsidP="00583048">
            <w:pPr>
              <w:pStyle w:val="Bijschrift"/>
              <w:jc w:val="right"/>
              <w:rPr>
                <w:rFonts w:ascii="Helvetica" w:hAnsi="Helvetica" w:cs="Arial"/>
                <w:lang w:val="en-US"/>
              </w:rPr>
            </w:pPr>
            <w:r>
              <w:rPr>
                <w:rFonts w:ascii="Helvetica" w:hAnsi="Helvetica" w:cs="Arial"/>
                <w:lang w:val="en-US"/>
              </w:rPr>
              <w:t>1.241,4</w:t>
            </w:r>
          </w:p>
        </w:tc>
        <w:tc>
          <w:tcPr>
            <w:tcW w:w="1134" w:type="dxa"/>
            <w:shd w:val="clear" w:color="auto" w:fill="C2D69B" w:themeFill="accent3" w:themeFillTint="99"/>
          </w:tcPr>
          <w:p w14:paraId="017EA903" w14:textId="4B1794DD" w:rsidR="006B28CD" w:rsidRDefault="006B28CD" w:rsidP="00583048">
            <w:pPr>
              <w:pStyle w:val="Bijschrift"/>
              <w:jc w:val="right"/>
              <w:rPr>
                <w:rFonts w:ascii="Helvetica" w:hAnsi="Helvetica" w:cs="Arial"/>
                <w:lang w:val="en-US"/>
              </w:rPr>
            </w:pPr>
            <w:r>
              <w:rPr>
                <w:rFonts w:ascii="Helvetica" w:hAnsi="Helvetica" w:cs="Arial"/>
                <w:lang w:val="en-US"/>
              </w:rPr>
              <w:t>1.209,5</w:t>
            </w:r>
          </w:p>
        </w:tc>
        <w:tc>
          <w:tcPr>
            <w:tcW w:w="1134" w:type="dxa"/>
            <w:shd w:val="clear" w:color="auto" w:fill="C2D69B" w:themeFill="accent3" w:themeFillTint="99"/>
          </w:tcPr>
          <w:p w14:paraId="3348A543" w14:textId="50A60BE5" w:rsidR="006B28CD" w:rsidRDefault="006B28CD" w:rsidP="00583048">
            <w:pPr>
              <w:pStyle w:val="Bijschrift"/>
              <w:jc w:val="right"/>
              <w:rPr>
                <w:rFonts w:ascii="Helvetica" w:hAnsi="Helvetica" w:cs="Arial"/>
                <w:lang w:val="en-US"/>
              </w:rPr>
            </w:pPr>
            <w:r>
              <w:rPr>
                <w:rFonts w:ascii="Helvetica" w:hAnsi="Helvetica" w:cs="Arial"/>
                <w:lang w:val="en-US"/>
              </w:rPr>
              <w:t>1.133,9</w:t>
            </w:r>
          </w:p>
        </w:tc>
        <w:tc>
          <w:tcPr>
            <w:tcW w:w="1276" w:type="dxa"/>
            <w:shd w:val="clear" w:color="auto" w:fill="C2D69B" w:themeFill="accent3" w:themeFillTint="99"/>
          </w:tcPr>
          <w:p w14:paraId="53A35B52" w14:textId="71272D2E" w:rsidR="006B28CD" w:rsidRDefault="001776EB" w:rsidP="00583048">
            <w:pPr>
              <w:pStyle w:val="Bijschrift"/>
              <w:jc w:val="right"/>
              <w:rPr>
                <w:rFonts w:ascii="Helvetica" w:hAnsi="Helvetica" w:cs="Arial"/>
                <w:lang w:val="en-US"/>
              </w:rPr>
            </w:pPr>
            <w:r>
              <w:rPr>
                <w:rFonts w:ascii="Helvetica" w:hAnsi="Helvetica" w:cs="Arial"/>
                <w:lang w:val="en-US"/>
              </w:rPr>
              <w:t>10</w:t>
            </w:r>
            <w:r w:rsidR="006B28CD">
              <w:rPr>
                <w:rFonts w:ascii="Helvetica" w:hAnsi="Helvetica" w:cs="Arial"/>
                <w:lang w:val="en-US"/>
              </w:rPr>
              <w:t>,</w:t>
            </w:r>
            <w:r>
              <w:rPr>
                <w:rFonts w:ascii="Helvetica" w:hAnsi="Helvetica" w:cs="Arial"/>
                <w:lang w:val="en-US"/>
              </w:rPr>
              <w:t>1</w:t>
            </w:r>
          </w:p>
        </w:tc>
      </w:tr>
      <w:tr w:rsidR="006B28CD" w:rsidRPr="00B77E6A" w14:paraId="2E6E7D56" w14:textId="77777777" w:rsidTr="006B28CD">
        <w:trPr>
          <w:trHeight w:val="259"/>
        </w:trPr>
        <w:tc>
          <w:tcPr>
            <w:tcW w:w="3158" w:type="dxa"/>
            <w:shd w:val="clear" w:color="auto" w:fill="C2D69B" w:themeFill="accent3" w:themeFillTint="99"/>
            <w:noWrap/>
            <w:vAlign w:val="bottom"/>
          </w:tcPr>
          <w:p w14:paraId="58744176" w14:textId="77777777" w:rsidR="006B28CD" w:rsidRPr="002537AE" w:rsidRDefault="006B28CD" w:rsidP="00583048">
            <w:pPr>
              <w:pStyle w:val="Bijschrift"/>
              <w:rPr>
                <w:rFonts w:ascii="Helvetica" w:hAnsi="Helvetica" w:cs="Arial"/>
                <w:lang w:val="en-US"/>
              </w:rPr>
            </w:pPr>
          </w:p>
        </w:tc>
        <w:tc>
          <w:tcPr>
            <w:tcW w:w="992" w:type="dxa"/>
            <w:shd w:val="clear" w:color="auto" w:fill="C2D69B" w:themeFill="accent3" w:themeFillTint="99"/>
            <w:vAlign w:val="bottom"/>
          </w:tcPr>
          <w:p w14:paraId="7F0034C3" w14:textId="77777777" w:rsidR="006B28CD" w:rsidRPr="002537AE" w:rsidRDefault="006B28CD" w:rsidP="00583048">
            <w:pPr>
              <w:pStyle w:val="Bijschrift"/>
              <w:jc w:val="right"/>
              <w:rPr>
                <w:rFonts w:ascii="Helvetica" w:hAnsi="Helvetica" w:cs="Arial"/>
                <w:lang w:val="en-US"/>
              </w:rPr>
            </w:pPr>
          </w:p>
        </w:tc>
        <w:tc>
          <w:tcPr>
            <w:tcW w:w="1134" w:type="dxa"/>
            <w:shd w:val="clear" w:color="auto" w:fill="C2D69B" w:themeFill="accent3" w:themeFillTint="99"/>
          </w:tcPr>
          <w:p w14:paraId="15C038C4" w14:textId="77777777" w:rsidR="006B28CD" w:rsidRPr="002537AE" w:rsidRDefault="006B28CD" w:rsidP="00583048">
            <w:pPr>
              <w:pStyle w:val="Bijschrift"/>
              <w:jc w:val="right"/>
              <w:rPr>
                <w:rFonts w:ascii="Helvetica" w:hAnsi="Helvetica" w:cs="Arial"/>
                <w:lang w:val="en-US"/>
              </w:rPr>
            </w:pPr>
          </w:p>
        </w:tc>
        <w:tc>
          <w:tcPr>
            <w:tcW w:w="1134" w:type="dxa"/>
            <w:shd w:val="clear" w:color="auto" w:fill="C2D69B" w:themeFill="accent3" w:themeFillTint="99"/>
          </w:tcPr>
          <w:p w14:paraId="5005C2EB" w14:textId="77777777" w:rsidR="006B28CD" w:rsidRPr="002537AE" w:rsidRDefault="006B28CD" w:rsidP="00583048">
            <w:pPr>
              <w:pStyle w:val="Bijschrift"/>
              <w:jc w:val="right"/>
              <w:rPr>
                <w:rFonts w:ascii="Helvetica" w:hAnsi="Helvetica" w:cs="Arial"/>
                <w:lang w:val="en-US"/>
              </w:rPr>
            </w:pPr>
          </w:p>
        </w:tc>
        <w:tc>
          <w:tcPr>
            <w:tcW w:w="1134" w:type="dxa"/>
            <w:shd w:val="clear" w:color="auto" w:fill="C2D69B" w:themeFill="accent3" w:themeFillTint="99"/>
          </w:tcPr>
          <w:p w14:paraId="27329D75" w14:textId="77777777" w:rsidR="006B28CD" w:rsidRPr="002537AE" w:rsidRDefault="006B28CD" w:rsidP="00583048">
            <w:pPr>
              <w:pStyle w:val="Bijschrift"/>
              <w:jc w:val="right"/>
              <w:rPr>
                <w:rFonts w:ascii="Helvetica" w:hAnsi="Helvetica" w:cs="Arial"/>
                <w:lang w:val="en-US"/>
              </w:rPr>
            </w:pPr>
          </w:p>
        </w:tc>
        <w:tc>
          <w:tcPr>
            <w:tcW w:w="1134" w:type="dxa"/>
            <w:shd w:val="clear" w:color="auto" w:fill="C2D69B" w:themeFill="accent3" w:themeFillTint="99"/>
          </w:tcPr>
          <w:p w14:paraId="5659B6F0" w14:textId="77777777" w:rsidR="006B28CD" w:rsidRPr="002537AE" w:rsidRDefault="006B28CD" w:rsidP="00583048">
            <w:pPr>
              <w:pStyle w:val="Bijschrift"/>
              <w:jc w:val="right"/>
              <w:rPr>
                <w:rFonts w:ascii="Helvetica" w:hAnsi="Helvetica" w:cs="Arial"/>
                <w:lang w:val="en-US"/>
              </w:rPr>
            </w:pPr>
          </w:p>
        </w:tc>
        <w:tc>
          <w:tcPr>
            <w:tcW w:w="1276" w:type="dxa"/>
            <w:shd w:val="clear" w:color="auto" w:fill="C2D69B" w:themeFill="accent3" w:themeFillTint="99"/>
          </w:tcPr>
          <w:p w14:paraId="7DCCA1F7" w14:textId="77777777" w:rsidR="006B28CD" w:rsidRPr="002537AE" w:rsidRDefault="006B28CD" w:rsidP="00583048">
            <w:pPr>
              <w:pStyle w:val="Bijschrift"/>
              <w:jc w:val="right"/>
              <w:rPr>
                <w:rFonts w:ascii="Helvetica" w:hAnsi="Helvetica" w:cs="Arial"/>
                <w:lang w:val="en-US"/>
              </w:rPr>
            </w:pPr>
          </w:p>
        </w:tc>
      </w:tr>
      <w:tr w:rsidR="006B28CD" w:rsidRPr="00B77E6A" w14:paraId="5C0F195C" w14:textId="77777777" w:rsidTr="006B28CD">
        <w:trPr>
          <w:trHeight w:val="259"/>
        </w:trPr>
        <w:tc>
          <w:tcPr>
            <w:tcW w:w="3158" w:type="dxa"/>
            <w:tcBorders>
              <w:bottom w:val="single" w:sz="8" w:space="0" w:color="auto"/>
            </w:tcBorders>
            <w:shd w:val="clear" w:color="auto" w:fill="C2D69B" w:themeFill="accent3" w:themeFillTint="99"/>
            <w:noWrap/>
            <w:vAlign w:val="bottom"/>
          </w:tcPr>
          <w:p w14:paraId="5FCB28C7" w14:textId="77777777" w:rsidR="006B28CD" w:rsidRPr="002537AE" w:rsidRDefault="006B28CD" w:rsidP="00583048">
            <w:pPr>
              <w:pStyle w:val="Bijschrift"/>
              <w:rPr>
                <w:rFonts w:ascii="Helvetica" w:hAnsi="Helvetica" w:cs="Arial"/>
                <w:lang w:val="en-US"/>
              </w:rPr>
            </w:pPr>
            <w:r w:rsidRPr="002537AE">
              <w:rPr>
                <w:rFonts w:ascii="Helvetica" w:hAnsi="Helvetica" w:cs="Arial"/>
                <w:lang w:val="en-US"/>
              </w:rPr>
              <w:t>FTE</w:t>
            </w:r>
          </w:p>
        </w:tc>
        <w:tc>
          <w:tcPr>
            <w:tcW w:w="992" w:type="dxa"/>
            <w:tcBorders>
              <w:bottom w:val="single" w:sz="8" w:space="0" w:color="auto"/>
            </w:tcBorders>
            <w:shd w:val="clear" w:color="auto" w:fill="C2D69B" w:themeFill="accent3" w:themeFillTint="99"/>
            <w:vAlign w:val="bottom"/>
          </w:tcPr>
          <w:p w14:paraId="0FE840A6" w14:textId="77777777" w:rsidR="006B28CD" w:rsidRPr="002537AE" w:rsidRDefault="006B28CD" w:rsidP="00583048">
            <w:pPr>
              <w:pStyle w:val="Bijschrift"/>
              <w:jc w:val="right"/>
              <w:rPr>
                <w:rFonts w:ascii="Helvetica" w:hAnsi="Helvetica" w:cs="Arial"/>
                <w:lang w:val="en-US"/>
              </w:rPr>
            </w:pPr>
            <w:r w:rsidRPr="002537AE">
              <w:rPr>
                <w:rFonts w:ascii="Helvetica" w:hAnsi="Helvetica" w:cs="Arial"/>
                <w:lang w:val="en-US"/>
              </w:rPr>
              <w:t>2</w:t>
            </w:r>
            <w:r>
              <w:rPr>
                <w:rFonts w:ascii="Helvetica" w:hAnsi="Helvetica" w:cs="Arial"/>
                <w:lang w:val="en-US"/>
              </w:rPr>
              <w:t>0</w:t>
            </w:r>
          </w:p>
        </w:tc>
        <w:tc>
          <w:tcPr>
            <w:tcW w:w="1134" w:type="dxa"/>
            <w:tcBorders>
              <w:bottom w:val="single" w:sz="8" w:space="0" w:color="auto"/>
            </w:tcBorders>
            <w:shd w:val="clear" w:color="auto" w:fill="C2D69B" w:themeFill="accent3" w:themeFillTint="99"/>
          </w:tcPr>
          <w:p w14:paraId="453F2220" w14:textId="77777777" w:rsidR="006B28CD" w:rsidRDefault="006B28CD" w:rsidP="00583048">
            <w:pPr>
              <w:pStyle w:val="Bijschrift"/>
              <w:jc w:val="right"/>
              <w:rPr>
                <w:rFonts w:ascii="Helvetica" w:hAnsi="Helvetica" w:cs="Arial"/>
                <w:lang w:val="en-US"/>
              </w:rPr>
            </w:pPr>
            <w:r>
              <w:rPr>
                <w:rFonts w:ascii="Helvetica" w:hAnsi="Helvetica" w:cs="Arial"/>
                <w:lang w:val="en-US"/>
              </w:rPr>
              <w:t>20</w:t>
            </w:r>
          </w:p>
        </w:tc>
        <w:tc>
          <w:tcPr>
            <w:tcW w:w="1134" w:type="dxa"/>
            <w:tcBorders>
              <w:bottom w:val="single" w:sz="8" w:space="0" w:color="auto"/>
            </w:tcBorders>
            <w:shd w:val="clear" w:color="auto" w:fill="C2D69B" w:themeFill="accent3" w:themeFillTint="99"/>
          </w:tcPr>
          <w:p w14:paraId="702C8FA8" w14:textId="1027FEB8" w:rsidR="006B28CD" w:rsidRDefault="006B28CD" w:rsidP="00583048">
            <w:pPr>
              <w:pStyle w:val="Bijschrift"/>
              <w:jc w:val="right"/>
              <w:rPr>
                <w:rFonts w:ascii="Helvetica" w:hAnsi="Helvetica" w:cs="Arial"/>
                <w:lang w:val="en-US"/>
              </w:rPr>
            </w:pPr>
            <w:r>
              <w:rPr>
                <w:rFonts w:ascii="Helvetica" w:hAnsi="Helvetica" w:cs="Arial"/>
                <w:lang w:val="en-US"/>
              </w:rPr>
              <w:t>20</w:t>
            </w:r>
          </w:p>
        </w:tc>
        <w:tc>
          <w:tcPr>
            <w:tcW w:w="1134" w:type="dxa"/>
            <w:tcBorders>
              <w:bottom w:val="single" w:sz="8" w:space="0" w:color="auto"/>
            </w:tcBorders>
            <w:shd w:val="clear" w:color="auto" w:fill="C2D69B" w:themeFill="accent3" w:themeFillTint="99"/>
          </w:tcPr>
          <w:p w14:paraId="3B790D21" w14:textId="16CF0FA3" w:rsidR="006B28CD" w:rsidRDefault="006B28CD" w:rsidP="00583048">
            <w:pPr>
              <w:pStyle w:val="Bijschrift"/>
              <w:jc w:val="right"/>
              <w:rPr>
                <w:rFonts w:ascii="Helvetica" w:hAnsi="Helvetica" w:cs="Arial"/>
                <w:lang w:val="en-US"/>
              </w:rPr>
            </w:pPr>
            <w:r>
              <w:rPr>
                <w:rFonts w:ascii="Helvetica" w:hAnsi="Helvetica" w:cs="Arial"/>
                <w:lang w:val="en-US"/>
              </w:rPr>
              <w:t>20</w:t>
            </w:r>
          </w:p>
        </w:tc>
        <w:tc>
          <w:tcPr>
            <w:tcW w:w="1134" w:type="dxa"/>
            <w:tcBorders>
              <w:bottom w:val="single" w:sz="8" w:space="0" w:color="auto"/>
            </w:tcBorders>
            <w:shd w:val="clear" w:color="auto" w:fill="C2D69B" w:themeFill="accent3" w:themeFillTint="99"/>
          </w:tcPr>
          <w:p w14:paraId="0DC2E407" w14:textId="1BD086E5" w:rsidR="006B28CD" w:rsidRDefault="006B28CD" w:rsidP="00583048">
            <w:pPr>
              <w:pStyle w:val="Bijschrift"/>
              <w:jc w:val="right"/>
              <w:rPr>
                <w:rFonts w:ascii="Helvetica" w:hAnsi="Helvetica" w:cs="Arial"/>
                <w:lang w:val="en-US"/>
              </w:rPr>
            </w:pPr>
            <w:r>
              <w:rPr>
                <w:rFonts w:ascii="Helvetica" w:hAnsi="Helvetica" w:cs="Arial"/>
                <w:lang w:val="en-US"/>
              </w:rPr>
              <w:t>20</w:t>
            </w:r>
          </w:p>
        </w:tc>
        <w:tc>
          <w:tcPr>
            <w:tcW w:w="1276" w:type="dxa"/>
            <w:tcBorders>
              <w:bottom w:val="single" w:sz="8" w:space="0" w:color="auto"/>
            </w:tcBorders>
            <w:shd w:val="clear" w:color="auto" w:fill="C2D69B" w:themeFill="accent3" w:themeFillTint="99"/>
          </w:tcPr>
          <w:p w14:paraId="696ED5DB" w14:textId="77777777" w:rsidR="006B28CD" w:rsidRDefault="006B28CD" w:rsidP="00583048">
            <w:pPr>
              <w:pStyle w:val="Bijschrift"/>
              <w:jc w:val="right"/>
              <w:rPr>
                <w:rFonts w:ascii="Helvetica" w:hAnsi="Helvetica" w:cs="Arial"/>
                <w:lang w:val="en-US"/>
              </w:rPr>
            </w:pPr>
            <w:r>
              <w:rPr>
                <w:rFonts w:ascii="Helvetica" w:hAnsi="Helvetica" w:cs="Arial"/>
                <w:lang w:val="en-US"/>
              </w:rPr>
              <w:t>0</w:t>
            </w:r>
          </w:p>
        </w:tc>
      </w:tr>
      <w:tr w:rsidR="006B28CD" w:rsidRPr="00B77E6A" w14:paraId="2CD5C2F8" w14:textId="77777777" w:rsidTr="006B28CD">
        <w:trPr>
          <w:trHeight w:val="259"/>
        </w:trPr>
        <w:tc>
          <w:tcPr>
            <w:tcW w:w="3158" w:type="dxa"/>
            <w:shd w:val="clear" w:color="auto" w:fill="C2D69B" w:themeFill="accent3" w:themeFillTint="99"/>
            <w:noWrap/>
            <w:vAlign w:val="bottom"/>
          </w:tcPr>
          <w:p w14:paraId="4A4CC05A" w14:textId="77777777" w:rsidR="006B28CD" w:rsidRPr="003705FD" w:rsidRDefault="006B28CD" w:rsidP="00583048">
            <w:pPr>
              <w:pStyle w:val="Bijschrift"/>
              <w:rPr>
                <w:rFonts w:ascii="Helvetica" w:hAnsi="Helvetica" w:cs="Arial"/>
                <w:lang w:val="en-US"/>
              </w:rPr>
            </w:pPr>
            <w:r>
              <w:rPr>
                <w:rFonts w:ascii="Helvetica" w:hAnsi="Helvetica" w:cs="Arial"/>
                <w:lang w:val="en-US"/>
              </w:rPr>
              <w:t>CO</w:t>
            </w:r>
            <w:r>
              <w:rPr>
                <w:rFonts w:ascii="Helvetica" w:hAnsi="Helvetica" w:cs="Arial"/>
                <w:vertAlign w:val="subscript"/>
                <w:lang w:val="en-US"/>
              </w:rPr>
              <w:t>2</w:t>
            </w:r>
            <w:r>
              <w:rPr>
                <w:rFonts w:ascii="Helvetica" w:hAnsi="Helvetica" w:cs="Arial"/>
                <w:lang w:val="en-US"/>
              </w:rPr>
              <w:t>-emissie per FTE</w:t>
            </w:r>
          </w:p>
        </w:tc>
        <w:tc>
          <w:tcPr>
            <w:tcW w:w="992" w:type="dxa"/>
            <w:shd w:val="clear" w:color="auto" w:fill="C2D69B" w:themeFill="accent3" w:themeFillTint="99"/>
            <w:vAlign w:val="bottom"/>
          </w:tcPr>
          <w:p w14:paraId="7D7C260B" w14:textId="77777777" w:rsidR="006B28CD" w:rsidRPr="002537AE" w:rsidRDefault="006B28CD" w:rsidP="00583048">
            <w:pPr>
              <w:pStyle w:val="Bijschrift"/>
              <w:jc w:val="right"/>
              <w:rPr>
                <w:rFonts w:ascii="Helvetica" w:hAnsi="Helvetica" w:cs="Arial"/>
                <w:lang w:val="en-US"/>
              </w:rPr>
            </w:pPr>
            <w:r>
              <w:rPr>
                <w:rFonts w:ascii="Helvetica" w:hAnsi="Helvetica" w:cs="Arial"/>
                <w:lang w:val="en-US"/>
              </w:rPr>
              <w:t>58,1</w:t>
            </w:r>
          </w:p>
        </w:tc>
        <w:tc>
          <w:tcPr>
            <w:tcW w:w="1134" w:type="dxa"/>
            <w:shd w:val="clear" w:color="auto" w:fill="C2D69B" w:themeFill="accent3" w:themeFillTint="99"/>
          </w:tcPr>
          <w:p w14:paraId="64D76E1E" w14:textId="77777777" w:rsidR="006B28CD" w:rsidRDefault="006B28CD" w:rsidP="00583048">
            <w:pPr>
              <w:pStyle w:val="Bijschrift"/>
              <w:jc w:val="right"/>
              <w:rPr>
                <w:rFonts w:ascii="Helvetica" w:hAnsi="Helvetica" w:cs="Arial"/>
                <w:lang w:val="en-US"/>
              </w:rPr>
            </w:pPr>
            <w:r>
              <w:rPr>
                <w:rFonts w:ascii="Helvetica" w:hAnsi="Helvetica" w:cs="Arial"/>
                <w:lang w:val="en-US"/>
              </w:rPr>
              <w:t>63,06</w:t>
            </w:r>
          </w:p>
        </w:tc>
        <w:tc>
          <w:tcPr>
            <w:tcW w:w="1134" w:type="dxa"/>
            <w:shd w:val="clear" w:color="auto" w:fill="C2D69B" w:themeFill="accent3" w:themeFillTint="99"/>
          </w:tcPr>
          <w:p w14:paraId="4CD54819" w14:textId="4B52741C" w:rsidR="006B28CD" w:rsidRDefault="006B28CD" w:rsidP="00583048">
            <w:pPr>
              <w:pStyle w:val="Bijschrift"/>
              <w:jc w:val="right"/>
              <w:rPr>
                <w:rFonts w:ascii="Helvetica" w:hAnsi="Helvetica" w:cs="Arial"/>
                <w:lang w:val="en-US"/>
              </w:rPr>
            </w:pPr>
            <w:r>
              <w:rPr>
                <w:rFonts w:ascii="Helvetica" w:hAnsi="Helvetica" w:cs="Arial"/>
                <w:lang w:val="en-US"/>
              </w:rPr>
              <w:t>62,07</w:t>
            </w:r>
          </w:p>
        </w:tc>
        <w:tc>
          <w:tcPr>
            <w:tcW w:w="1134" w:type="dxa"/>
            <w:shd w:val="clear" w:color="auto" w:fill="C2D69B" w:themeFill="accent3" w:themeFillTint="99"/>
          </w:tcPr>
          <w:p w14:paraId="58134E91" w14:textId="76325F8A" w:rsidR="006B28CD" w:rsidRDefault="006B28CD" w:rsidP="00583048">
            <w:pPr>
              <w:pStyle w:val="Bijschrift"/>
              <w:jc w:val="right"/>
              <w:rPr>
                <w:rFonts w:ascii="Helvetica" w:hAnsi="Helvetica" w:cs="Arial"/>
                <w:lang w:val="en-US"/>
              </w:rPr>
            </w:pPr>
            <w:r>
              <w:rPr>
                <w:rFonts w:ascii="Helvetica" w:hAnsi="Helvetica" w:cs="Arial"/>
                <w:lang w:val="en-US"/>
              </w:rPr>
              <w:t>60,48</w:t>
            </w:r>
          </w:p>
        </w:tc>
        <w:tc>
          <w:tcPr>
            <w:tcW w:w="1134" w:type="dxa"/>
            <w:shd w:val="clear" w:color="auto" w:fill="C2D69B" w:themeFill="accent3" w:themeFillTint="99"/>
          </w:tcPr>
          <w:p w14:paraId="4613536B" w14:textId="2C8A9AE4" w:rsidR="006B28CD" w:rsidRDefault="006B28CD" w:rsidP="00583048">
            <w:pPr>
              <w:pStyle w:val="Bijschrift"/>
              <w:jc w:val="right"/>
              <w:rPr>
                <w:rFonts w:ascii="Helvetica" w:hAnsi="Helvetica" w:cs="Arial"/>
                <w:lang w:val="en-US"/>
              </w:rPr>
            </w:pPr>
            <w:r>
              <w:rPr>
                <w:rFonts w:ascii="Helvetica" w:hAnsi="Helvetica" w:cs="Arial"/>
                <w:lang w:val="en-US"/>
              </w:rPr>
              <w:t>56,70</w:t>
            </w:r>
          </w:p>
        </w:tc>
        <w:tc>
          <w:tcPr>
            <w:tcW w:w="1276" w:type="dxa"/>
            <w:shd w:val="clear" w:color="auto" w:fill="C2D69B" w:themeFill="accent3" w:themeFillTint="99"/>
          </w:tcPr>
          <w:p w14:paraId="51E3D7AC" w14:textId="357FF761" w:rsidR="006B28CD" w:rsidRDefault="00F277EC" w:rsidP="00583048">
            <w:pPr>
              <w:pStyle w:val="Bijschrift"/>
              <w:jc w:val="right"/>
              <w:rPr>
                <w:rFonts w:ascii="Helvetica" w:hAnsi="Helvetica" w:cs="Arial"/>
                <w:lang w:val="en-US"/>
              </w:rPr>
            </w:pPr>
            <w:r>
              <w:rPr>
                <w:rFonts w:ascii="Helvetica" w:hAnsi="Helvetica" w:cs="Arial"/>
                <w:lang w:val="en-US"/>
              </w:rPr>
              <w:t>10</w:t>
            </w:r>
            <w:r w:rsidR="006B28CD">
              <w:rPr>
                <w:rFonts w:ascii="Helvetica" w:hAnsi="Helvetica" w:cs="Arial"/>
                <w:lang w:val="en-US"/>
              </w:rPr>
              <w:t>,</w:t>
            </w:r>
            <w:r>
              <w:rPr>
                <w:rFonts w:ascii="Helvetica" w:hAnsi="Helvetica" w:cs="Arial"/>
                <w:lang w:val="en-US"/>
              </w:rPr>
              <w:t>1</w:t>
            </w:r>
          </w:p>
        </w:tc>
      </w:tr>
      <w:tr w:rsidR="006B28CD" w:rsidRPr="00B77E6A" w14:paraId="58622B00" w14:textId="77777777" w:rsidTr="006B28CD">
        <w:trPr>
          <w:trHeight w:val="259"/>
        </w:trPr>
        <w:tc>
          <w:tcPr>
            <w:tcW w:w="3158" w:type="dxa"/>
            <w:shd w:val="clear" w:color="auto" w:fill="C2D69B" w:themeFill="accent3" w:themeFillTint="99"/>
            <w:noWrap/>
            <w:vAlign w:val="bottom"/>
          </w:tcPr>
          <w:p w14:paraId="1FA563A3" w14:textId="77777777" w:rsidR="006B28CD" w:rsidRDefault="006B28CD" w:rsidP="00583048">
            <w:pPr>
              <w:pStyle w:val="Bijschrift"/>
              <w:rPr>
                <w:rFonts w:ascii="Helvetica" w:hAnsi="Helvetica" w:cs="Arial"/>
                <w:lang w:val="en-US"/>
              </w:rPr>
            </w:pPr>
            <w:proofErr w:type="spellStart"/>
            <w:r>
              <w:rPr>
                <w:rFonts w:ascii="Helvetica" w:hAnsi="Helvetica" w:cs="Arial"/>
                <w:lang w:val="en-US"/>
              </w:rPr>
              <w:t>Brutomarge</w:t>
            </w:r>
            <w:proofErr w:type="spellEnd"/>
            <w:r>
              <w:rPr>
                <w:rFonts w:ascii="Helvetica" w:hAnsi="Helvetica" w:cs="Arial"/>
                <w:lang w:val="en-US"/>
              </w:rPr>
              <w:t xml:space="preserve"> (BM) / 100.000</w:t>
            </w:r>
          </w:p>
        </w:tc>
        <w:tc>
          <w:tcPr>
            <w:tcW w:w="992" w:type="dxa"/>
            <w:shd w:val="clear" w:color="auto" w:fill="C2D69B" w:themeFill="accent3" w:themeFillTint="99"/>
            <w:vAlign w:val="bottom"/>
          </w:tcPr>
          <w:p w14:paraId="26EC18E4" w14:textId="77777777" w:rsidR="006B28CD" w:rsidRDefault="006B28CD" w:rsidP="00583048">
            <w:pPr>
              <w:pStyle w:val="Bijschrift"/>
              <w:jc w:val="right"/>
              <w:rPr>
                <w:rFonts w:ascii="Helvetica" w:hAnsi="Helvetica" w:cs="Arial"/>
                <w:lang w:val="en-US"/>
              </w:rPr>
            </w:pPr>
            <w:r>
              <w:rPr>
                <w:rFonts w:ascii="Helvetica" w:hAnsi="Helvetica" w:cs="Arial"/>
                <w:lang w:val="en-US"/>
              </w:rPr>
              <w:t>27,85</w:t>
            </w:r>
          </w:p>
        </w:tc>
        <w:tc>
          <w:tcPr>
            <w:tcW w:w="1134" w:type="dxa"/>
            <w:shd w:val="clear" w:color="auto" w:fill="C2D69B" w:themeFill="accent3" w:themeFillTint="99"/>
          </w:tcPr>
          <w:p w14:paraId="12F3FD4E" w14:textId="77777777" w:rsidR="006B28CD" w:rsidRDefault="006B28CD" w:rsidP="00583048">
            <w:pPr>
              <w:pStyle w:val="Bijschrift"/>
              <w:jc w:val="right"/>
              <w:rPr>
                <w:rFonts w:ascii="Helvetica" w:hAnsi="Helvetica" w:cs="Arial"/>
                <w:lang w:val="en-US"/>
              </w:rPr>
            </w:pPr>
            <w:r>
              <w:rPr>
                <w:rFonts w:ascii="Helvetica" w:hAnsi="Helvetica" w:cs="Arial"/>
                <w:lang w:val="en-US"/>
              </w:rPr>
              <w:t>38,05</w:t>
            </w:r>
          </w:p>
        </w:tc>
        <w:tc>
          <w:tcPr>
            <w:tcW w:w="1134" w:type="dxa"/>
            <w:shd w:val="clear" w:color="auto" w:fill="C2D69B" w:themeFill="accent3" w:themeFillTint="99"/>
          </w:tcPr>
          <w:p w14:paraId="67A17833" w14:textId="0888B006" w:rsidR="006B28CD" w:rsidRDefault="006B28CD" w:rsidP="00583048">
            <w:pPr>
              <w:pStyle w:val="Bijschrift"/>
              <w:jc w:val="right"/>
              <w:rPr>
                <w:rFonts w:ascii="Helvetica" w:hAnsi="Helvetica" w:cs="Arial"/>
                <w:lang w:val="en-US"/>
              </w:rPr>
            </w:pPr>
            <w:r>
              <w:rPr>
                <w:rFonts w:ascii="Helvetica" w:hAnsi="Helvetica" w:cs="Arial"/>
                <w:lang w:val="en-US"/>
              </w:rPr>
              <w:t>37,42</w:t>
            </w:r>
          </w:p>
        </w:tc>
        <w:tc>
          <w:tcPr>
            <w:tcW w:w="1134" w:type="dxa"/>
            <w:shd w:val="clear" w:color="auto" w:fill="C2D69B" w:themeFill="accent3" w:themeFillTint="99"/>
          </w:tcPr>
          <w:p w14:paraId="339D0DA9" w14:textId="296563F1" w:rsidR="006B28CD" w:rsidRDefault="006B28CD" w:rsidP="00583048">
            <w:pPr>
              <w:pStyle w:val="Bijschrift"/>
              <w:jc w:val="right"/>
              <w:rPr>
                <w:rFonts w:ascii="Helvetica" w:hAnsi="Helvetica" w:cs="Arial"/>
                <w:lang w:val="en-US"/>
              </w:rPr>
            </w:pPr>
            <w:r>
              <w:rPr>
                <w:rFonts w:ascii="Helvetica" w:hAnsi="Helvetica" w:cs="Arial"/>
                <w:lang w:val="en-US"/>
              </w:rPr>
              <w:t>44,16</w:t>
            </w:r>
          </w:p>
        </w:tc>
        <w:tc>
          <w:tcPr>
            <w:tcW w:w="1134" w:type="dxa"/>
            <w:shd w:val="clear" w:color="auto" w:fill="C2D69B" w:themeFill="accent3" w:themeFillTint="99"/>
          </w:tcPr>
          <w:p w14:paraId="76320AF0" w14:textId="53FDF9D8" w:rsidR="006B28CD" w:rsidRDefault="00B74C67" w:rsidP="00583048">
            <w:pPr>
              <w:pStyle w:val="Bijschrift"/>
              <w:jc w:val="right"/>
              <w:rPr>
                <w:rFonts w:ascii="Helvetica" w:hAnsi="Helvetica" w:cs="Arial"/>
                <w:lang w:val="en-US"/>
              </w:rPr>
            </w:pPr>
            <w:r>
              <w:rPr>
                <w:rFonts w:ascii="Helvetica" w:hAnsi="Helvetica" w:cs="Arial"/>
                <w:lang w:val="en-US"/>
              </w:rPr>
              <w:t>41,86</w:t>
            </w:r>
          </w:p>
        </w:tc>
        <w:tc>
          <w:tcPr>
            <w:tcW w:w="1276" w:type="dxa"/>
            <w:shd w:val="clear" w:color="auto" w:fill="C2D69B" w:themeFill="accent3" w:themeFillTint="99"/>
          </w:tcPr>
          <w:p w14:paraId="59060E5F" w14:textId="08FFB134" w:rsidR="006B28CD" w:rsidRDefault="00114B9C" w:rsidP="00583048">
            <w:pPr>
              <w:pStyle w:val="Bijschrift"/>
              <w:jc w:val="right"/>
              <w:rPr>
                <w:rFonts w:ascii="Helvetica" w:hAnsi="Helvetica" w:cs="Arial"/>
                <w:lang w:val="en-US"/>
              </w:rPr>
            </w:pPr>
            <w:r>
              <w:rPr>
                <w:rFonts w:ascii="Helvetica" w:hAnsi="Helvetica" w:cs="Arial"/>
                <w:lang w:val="en-US"/>
              </w:rPr>
              <w:t>-</w:t>
            </w:r>
            <w:r w:rsidR="006B28CD">
              <w:rPr>
                <w:rFonts w:ascii="Helvetica" w:hAnsi="Helvetica" w:cs="Arial"/>
                <w:lang w:val="en-US"/>
              </w:rPr>
              <w:t>1</w:t>
            </w:r>
            <w:r>
              <w:rPr>
                <w:rFonts w:ascii="Helvetica" w:hAnsi="Helvetica" w:cs="Arial"/>
                <w:lang w:val="en-US"/>
              </w:rPr>
              <w:t>0</w:t>
            </w:r>
            <w:r w:rsidR="006B28CD">
              <w:rPr>
                <w:rFonts w:ascii="Helvetica" w:hAnsi="Helvetica" w:cs="Arial"/>
                <w:lang w:val="en-US"/>
              </w:rPr>
              <w:t>,0</w:t>
            </w:r>
            <w:r>
              <w:rPr>
                <w:rFonts w:ascii="Helvetica" w:hAnsi="Helvetica" w:cs="Arial"/>
                <w:lang w:val="en-US"/>
              </w:rPr>
              <w:t>1</w:t>
            </w:r>
          </w:p>
        </w:tc>
      </w:tr>
      <w:tr w:rsidR="006B28CD" w:rsidRPr="00B77E6A" w14:paraId="73F670A9" w14:textId="77777777" w:rsidTr="006B28CD">
        <w:trPr>
          <w:trHeight w:val="259"/>
        </w:trPr>
        <w:tc>
          <w:tcPr>
            <w:tcW w:w="3158" w:type="dxa"/>
            <w:shd w:val="clear" w:color="auto" w:fill="C2D69B" w:themeFill="accent3" w:themeFillTint="99"/>
            <w:noWrap/>
            <w:vAlign w:val="bottom"/>
          </w:tcPr>
          <w:p w14:paraId="49188CB2" w14:textId="77777777" w:rsidR="006B28CD" w:rsidRDefault="006B28CD" w:rsidP="00583048">
            <w:pPr>
              <w:pStyle w:val="Bijschrift"/>
              <w:rPr>
                <w:rFonts w:ascii="Helvetica" w:hAnsi="Helvetica" w:cs="Arial"/>
                <w:lang w:val="en-US"/>
              </w:rPr>
            </w:pPr>
            <w:r>
              <w:rPr>
                <w:rFonts w:ascii="Helvetica" w:hAnsi="Helvetica" w:cs="Arial"/>
                <w:lang w:val="en-US"/>
              </w:rPr>
              <w:t xml:space="preserve">CO2 </w:t>
            </w:r>
            <w:proofErr w:type="spellStart"/>
            <w:r>
              <w:rPr>
                <w:rFonts w:ascii="Helvetica" w:hAnsi="Helvetica" w:cs="Arial"/>
                <w:lang w:val="en-US"/>
              </w:rPr>
              <w:t>emissie</w:t>
            </w:r>
            <w:proofErr w:type="spellEnd"/>
            <w:r>
              <w:rPr>
                <w:rFonts w:ascii="Helvetica" w:hAnsi="Helvetica" w:cs="Arial"/>
                <w:lang w:val="en-US"/>
              </w:rPr>
              <w:t xml:space="preserve"> per BM / 100.000</w:t>
            </w:r>
          </w:p>
        </w:tc>
        <w:tc>
          <w:tcPr>
            <w:tcW w:w="992" w:type="dxa"/>
            <w:shd w:val="clear" w:color="auto" w:fill="C2D69B" w:themeFill="accent3" w:themeFillTint="99"/>
            <w:vAlign w:val="bottom"/>
          </w:tcPr>
          <w:p w14:paraId="4DDA5F81" w14:textId="77777777" w:rsidR="006B28CD" w:rsidRDefault="006B28CD" w:rsidP="00583048">
            <w:pPr>
              <w:pStyle w:val="Bijschrift"/>
              <w:jc w:val="right"/>
              <w:rPr>
                <w:rFonts w:ascii="Helvetica" w:hAnsi="Helvetica" w:cs="Arial"/>
                <w:lang w:val="en-US"/>
              </w:rPr>
            </w:pPr>
            <w:r>
              <w:rPr>
                <w:rFonts w:ascii="Helvetica" w:hAnsi="Helvetica" w:cs="Arial"/>
                <w:lang w:val="en-US"/>
              </w:rPr>
              <w:t>41,91</w:t>
            </w:r>
          </w:p>
        </w:tc>
        <w:tc>
          <w:tcPr>
            <w:tcW w:w="1134" w:type="dxa"/>
            <w:shd w:val="clear" w:color="auto" w:fill="C2D69B" w:themeFill="accent3" w:themeFillTint="99"/>
          </w:tcPr>
          <w:p w14:paraId="30CC6803" w14:textId="77777777" w:rsidR="006B28CD" w:rsidRDefault="006B28CD" w:rsidP="00583048">
            <w:pPr>
              <w:pStyle w:val="Bijschrift"/>
              <w:jc w:val="right"/>
              <w:rPr>
                <w:rFonts w:ascii="Helvetica" w:hAnsi="Helvetica" w:cs="Arial"/>
                <w:lang w:val="en-US"/>
              </w:rPr>
            </w:pPr>
            <w:r>
              <w:rPr>
                <w:rFonts w:ascii="Helvetica" w:hAnsi="Helvetica" w:cs="Arial"/>
                <w:lang w:val="en-US"/>
              </w:rPr>
              <w:t>33,15</w:t>
            </w:r>
          </w:p>
        </w:tc>
        <w:tc>
          <w:tcPr>
            <w:tcW w:w="1134" w:type="dxa"/>
            <w:shd w:val="clear" w:color="auto" w:fill="C2D69B" w:themeFill="accent3" w:themeFillTint="99"/>
          </w:tcPr>
          <w:p w14:paraId="194F126D" w14:textId="36250D3A" w:rsidR="006B28CD" w:rsidRDefault="006B28CD" w:rsidP="00583048">
            <w:pPr>
              <w:pStyle w:val="Bijschrift"/>
              <w:jc w:val="right"/>
              <w:rPr>
                <w:rFonts w:ascii="Helvetica" w:hAnsi="Helvetica" w:cs="Arial"/>
                <w:lang w:val="en-US"/>
              </w:rPr>
            </w:pPr>
            <w:r>
              <w:rPr>
                <w:rFonts w:ascii="Helvetica" w:hAnsi="Helvetica" w:cs="Arial"/>
                <w:lang w:val="en-US"/>
              </w:rPr>
              <w:t>33,17</w:t>
            </w:r>
          </w:p>
        </w:tc>
        <w:tc>
          <w:tcPr>
            <w:tcW w:w="1134" w:type="dxa"/>
            <w:shd w:val="clear" w:color="auto" w:fill="C2D69B" w:themeFill="accent3" w:themeFillTint="99"/>
          </w:tcPr>
          <w:p w14:paraId="4B0985D1" w14:textId="6A952A9D" w:rsidR="006B28CD" w:rsidRDefault="006B28CD" w:rsidP="00583048">
            <w:pPr>
              <w:pStyle w:val="Bijschrift"/>
              <w:jc w:val="right"/>
              <w:rPr>
                <w:rFonts w:ascii="Helvetica" w:hAnsi="Helvetica" w:cs="Arial"/>
                <w:lang w:val="en-US"/>
              </w:rPr>
            </w:pPr>
            <w:r>
              <w:rPr>
                <w:rFonts w:ascii="Helvetica" w:hAnsi="Helvetica" w:cs="Arial"/>
                <w:lang w:val="en-US"/>
              </w:rPr>
              <w:t>27,39</w:t>
            </w:r>
          </w:p>
        </w:tc>
        <w:tc>
          <w:tcPr>
            <w:tcW w:w="1134" w:type="dxa"/>
            <w:shd w:val="clear" w:color="auto" w:fill="C2D69B" w:themeFill="accent3" w:themeFillTint="99"/>
          </w:tcPr>
          <w:p w14:paraId="762CD835" w14:textId="2008A2AD" w:rsidR="006B28CD" w:rsidRDefault="00B74C67" w:rsidP="00583048">
            <w:pPr>
              <w:pStyle w:val="Bijschrift"/>
              <w:jc w:val="right"/>
              <w:rPr>
                <w:rFonts w:ascii="Helvetica" w:hAnsi="Helvetica" w:cs="Arial"/>
                <w:lang w:val="en-US"/>
              </w:rPr>
            </w:pPr>
            <w:r>
              <w:rPr>
                <w:rFonts w:ascii="Helvetica" w:hAnsi="Helvetica" w:cs="Arial"/>
                <w:lang w:val="en-US"/>
              </w:rPr>
              <w:t>27,09</w:t>
            </w:r>
          </w:p>
        </w:tc>
        <w:tc>
          <w:tcPr>
            <w:tcW w:w="1276" w:type="dxa"/>
            <w:shd w:val="clear" w:color="auto" w:fill="C2D69B" w:themeFill="accent3" w:themeFillTint="99"/>
          </w:tcPr>
          <w:p w14:paraId="35936E2C" w14:textId="6AE02D15" w:rsidR="006B28CD" w:rsidRDefault="006B28CD" w:rsidP="00583048">
            <w:pPr>
              <w:pStyle w:val="Bijschrift"/>
              <w:jc w:val="right"/>
              <w:rPr>
                <w:rFonts w:ascii="Helvetica" w:hAnsi="Helvetica" w:cs="Arial"/>
                <w:lang w:val="en-US"/>
              </w:rPr>
            </w:pPr>
            <w:r>
              <w:rPr>
                <w:rFonts w:ascii="Helvetica" w:hAnsi="Helvetica" w:cs="Arial"/>
                <w:lang w:val="en-US"/>
              </w:rPr>
              <w:t>1</w:t>
            </w:r>
            <w:r w:rsidR="0042057F">
              <w:rPr>
                <w:rFonts w:ascii="Helvetica" w:hAnsi="Helvetica" w:cs="Arial"/>
                <w:lang w:val="en-US"/>
              </w:rPr>
              <w:t>8</w:t>
            </w:r>
            <w:r>
              <w:rPr>
                <w:rFonts w:ascii="Helvetica" w:hAnsi="Helvetica" w:cs="Arial"/>
                <w:lang w:val="en-US"/>
              </w:rPr>
              <w:t>,</w:t>
            </w:r>
            <w:r w:rsidR="00BC13BA">
              <w:rPr>
                <w:rFonts w:ascii="Helvetica" w:hAnsi="Helvetica" w:cs="Arial"/>
                <w:lang w:val="en-US"/>
              </w:rPr>
              <w:t>3</w:t>
            </w:r>
          </w:p>
        </w:tc>
      </w:tr>
      <w:tr w:rsidR="006B28CD" w:rsidRPr="00B77E6A" w14:paraId="23C90445" w14:textId="77777777" w:rsidTr="006B28CD">
        <w:trPr>
          <w:trHeight w:val="259"/>
        </w:trPr>
        <w:tc>
          <w:tcPr>
            <w:tcW w:w="3158" w:type="dxa"/>
            <w:shd w:val="clear" w:color="auto" w:fill="C2D69B" w:themeFill="accent3" w:themeFillTint="99"/>
            <w:noWrap/>
            <w:vAlign w:val="bottom"/>
          </w:tcPr>
          <w:p w14:paraId="504D0C10" w14:textId="77777777" w:rsidR="006B28CD" w:rsidRDefault="006B28CD" w:rsidP="00583048">
            <w:pPr>
              <w:pStyle w:val="Bijschrift"/>
              <w:rPr>
                <w:rFonts w:ascii="Helvetica" w:hAnsi="Helvetica" w:cs="Arial"/>
                <w:lang w:val="en-US"/>
              </w:rPr>
            </w:pPr>
            <w:proofErr w:type="spellStart"/>
            <w:r>
              <w:rPr>
                <w:rFonts w:ascii="Helvetica" w:hAnsi="Helvetica" w:cs="Arial"/>
                <w:lang w:val="en-US"/>
              </w:rPr>
              <w:t>Emissie</w:t>
            </w:r>
            <w:proofErr w:type="spellEnd"/>
            <w:r>
              <w:rPr>
                <w:rFonts w:ascii="Helvetica" w:hAnsi="Helvetica" w:cs="Arial"/>
                <w:lang w:val="en-US"/>
              </w:rPr>
              <w:t xml:space="preserve"> scope 1 / 100.000 BM</w:t>
            </w:r>
          </w:p>
        </w:tc>
        <w:tc>
          <w:tcPr>
            <w:tcW w:w="992" w:type="dxa"/>
            <w:shd w:val="clear" w:color="auto" w:fill="C2D69B" w:themeFill="accent3" w:themeFillTint="99"/>
            <w:vAlign w:val="bottom"/>
          </w:tcPr>
          <w:p w14:paraId="36D4A7A4" w14:textId="77777777" w:rsidR="006B28CD" w:rsidRDefault="006B28CD" w:rsidP="00583048">
            <w:pPr>
              <w:pStyle w:val="Bijschrift"/>
              <w:jc w:val="right"/>
              <w:rPr>
                <w:rFonts w:ascii="Helvetica" w:hAnsi="Helvetica" w:cs="Arial"/>
                <w:lang w:val="en-US"/>
              </w:rPr>
            </w:pPr>
            <w:r>
              <w:rPr>
                <w:rFonts w:ascii="Helvetica" w:hAnsi="Helvetica" w:cs="Arial"/>
                <w:lang w:val="en-US"/>
              </w:rPr>
              <w:t>40,60</w:t>
            </w:r>
          </w:p>
        </w:tc>
        <w:tc>
          <w:tcPr>
            <w:tcW w:w="1134" w:type="dxa"/>
            <w:shd w:val="clear" w:color="auto" w:fill="C2D69B" w:themeFill="accent3" w:themeFillTint="99"/>
          </w:tcPr>
          <w:p w14:paraId="3045DE4E" w14:textId="77777777" w:rsidR="006B28CD" w:rsidRDefault="006B28CD" w:rsidP="00583048">
            <w:pPr>
              <w:pStyle w:val="Bijschrift"/>
              <w:jc w:val="right"/>
              <w:rPr>
                <w:rFonts w:ascii="Helvetica" w:hAnsi="Helvetica" w:cs="Arial"/>
                <w:lang w:val="en-US"/>
              </w:rPr>
            </w:pPr>
            <w:r>
              <w:rPr>
                <w:rFonts w:ascii="Helvetica" w:hAnsi="Helvetica" w:cs="Arial"/>
                <w:lang w:val="en-US"/>
              </w:rPr>
              <w:t>33,15</w:t>
            </w:r>
          </w:p>
        </w:tc>
        <w:tc>
          <w:tcPr>
            <w:tcW w:w="1134" w:type="dxa"/>
            <w:shd w:val="clear" w:color="auto" w:fill="C2D69B" w:themeFill="accent3" w:themeFillTint="99"/>
          </w:tcPr>
          <w:p w14:paraId="709919D9" w14:textId="59A0EF23" w:rsidR="006B28CD" w:rsidRDefault="006B28CD" w:rsidP="00583048">
            <w:pPr>
              <w:pStyle w:val="Bijschrift"/>
              <w:jc w:val="right"/>
              <w:rPr>
                <w:rFonts w:ascii="Helvetica" w:hAnsi="Helvetica" w:cs="Arial"/>
                <w:lang w:val="en-US"/>
              </w:rPr>
            </w:pPr>
            <w:r>
              <w:rPr>
                <w:rFonts w:ascii="Helvetica" w:hAnsi="Helvetica" w:cs="Arial"/>
                <w:lang w:val="en-US"/>
              </w:rPr>
              <w:t>33,17</w:t>
            </w:r>
          </w:p>
        </w:tc>
        <w:tc>
          <w:tcPr>
            <w:tcW w:w="1134" w:type="dxa"/>
            <w:shd w:val="clear" w:color="auto" w:fill="C2D69B" w:themeFill="accent3" w:themeFillTint="99"/>
          </w:tcPr>
          <w:p w14:paraId="3827DB82" w14:textId="4E87174C" w:rsidR="006B28CD" w:rsidRDefault="006B28CD" w:rsidP="00583048">
            <w:pPr>
              <w:pStyle w:val="Bijschrift"/>
              <w:jc w:val="right"/>
              <w:rPr>
                <w:rFonts w:ascii="Helvetica" w:hAnsi="Helvetica" w:cs="Arial"/>
                <w:lang w:val="en-US"/>
              </w:rPr>
            </w:pPr>
            <w:r>
              <w:rPr>
                <w:rFonts w:ascii="Helvetica" w:hAnsi="Helvetica" w:cs="Arial"/>
                <w:lang w:val="en-US"/>
              </w:rPr>
              <w:t>27,39</w:t>
            </w:r>
          </w:p>
        </w:tc>
        <w:tc>
          <w:tcPr>
            <w:tcW w:w="1134" w:type="dxa"/>
            <w:shd w:val="clear" w:color="auto" w:fill="C2D69B" w:themeFill="accent3" w:themeFillTint="99"/>
          </w:tcPr>
          <w:p w14:paraId="1B07F56D" w14:textId="6312EAB3" w:rsidR="006B28CD" w:rsidRDefault="00B74C67" w:rsidP="00583048">
            <w:pPr>
              <w:pStyle w:val="Bijschrift"/>
              <w:jc w:val="right"/>
              <w:rPr>
                <w:rFonts w:ascii="Helvetica" w:hAnsi="Helvetica" w:cs="Arial"/>
                <w:lang w:val="en-US"/>
              </w:rPr>
            </w:pPr>
            <w:r>
              <w:rPr>
                <w:rFonts w:ascii="Helvetica" w:hAnsi="Helvetica" w:cs="Arial"/>
                <w:lang w:val="en-US"/>
              </w:rPr>
              <w:t>27,09</w:t>
            </w:r>
          </w:p>
        </w:tc>
        <w:tc>
          <w:tcPr>
            <w:tcW w:w="1276" w:type="dxa"/>
            <w:shd w:val="clear" w:color="auto" w:fill="C2D69B" w:themeFill="accent3" w:themeFillTint="99"/>
          </w:tcPr>
          <w:p w14:paraId="34EA83A4" w14:textId="29D8D89C" w:rsidR="006B28CD" w:rsidRDefault="006B28CD" w:rsidP="00583048">
            <w:pPr>
              <w:pStyle w:val="Bijschrift"/>
              <w:jc w:val="right"/>
              <w:rPr>
                <w:rFonts w:ascii="Helvetica" w:hAnsi="Helvetica" w:cs="Arial"/>
                <w:lang w:val="en-US"/>
              </w:rPr>
            </w:pPr>
            <w:r>
              <w:rPr>
                <w:rFonts w:ascii="Helvetica" w:hAnsi="Helvetica" w:cs="Arial"/>
                <w:lang w:val="en-US"/>
              </w:rPr>
              <w:t>1</w:t>
            </w:r>
            <w:r w:rsidR="00BC13BA">
              <w:rPr>
                <w:rFonts w:ascii="Helvetica" w:hAnsi="Helvetica" w:cs="Arial"/>
                <w:lang w:val="en-US"/>
              </w:rPr>
              <w:t>8</w:t>
            </w:r>
            <w:r>
              <w:rPr>
                <w:rFonts w:ascii="Helvetica" w:hAnsi="Helvetica" w:cs="Arial"/>
                <w:lang w:val="en-US"/>
              </w:rPr>
              <w:t>,</w:t>
            </w:r>
            <w:r w:rsidR="00BC13BA">
              <w:rPr>
                <w:rFonts w:ascii="Helvetica" w:hAnsi="Helvetica" w:cs="Arial"/>
                <w:lang w:val="en-US"/>
              </w:rPr>
              <w:t>3</w:t>
            </w:r>
          </w:p>
        </w:tc>
      </w:tr>
      <w:tr w:rsidR="006B28CD" w:rsidRPr="00B77E6A" w14:paraId="0F56B4EC" w14:textId="77777777" w:rsidTr="006B28CD">
        <w:trPr>
          <w:trHeight w:val="259"/>
        </w:trPr>
        <w:tc>
          <w:tcPr>
            <w:tcW w:w="3158" w:type="dxa"/>
            <w:tcBorders>
              <w:bottom w:val="single" w:sz="8" w:space="0" w:color="auto"/>
            </w:tcBorders>
            <w:shd w:val="clear" w:color="auto" w:fill="C2D69B" w:themeFill="accent3" w:themeFillTint="99"/>
            <w:noWrap/>
            <w:vAlign w:val="bottom"/>
          </w:tcPr>
          <w:p w14:paraId="71B58ECD" w14:textId="77777777" w:rsidR="006B28CD" w:rsidRDefault="006B28CD" w:rsidP="00583048">
            <w:pPr>
              <w:pStyle w:val="Bijschrift"/>
              <w:rPr>
                <w:rFonts w:ascii="Helvetica" w:hAnsi="Helvetica" w:cs="Arial"/>
                <w:lang w:val="en-US"/>
              </w:rPr>
            </w:pPr>
            <w:proofErr w:type="spellStart"/>
            <w:r>
              <w:rPr>
                <w:rFonts w:ascii="Helvetica" w:hAnsi="Helvetica" w:cs="Arial"/>
                <w:lang w:val="en-US"/>
              </w:rPr>
              <w:t>Emissie</w:t>
            </w:r>
            <w:proofErr w:type="spellEnd"/>
            <w:r>
              <w:rPr>
                <w:rFonts w:ascii="Helvetica" w:hAnsi="Helvetica" w:cs="Arial"/>
                <w:lang w:val="en-US"/>
              </w:rPr>
              <w:t xml:space="preserve"> scope 2 / 100.000 BM</w:t>
            </w:r>
          </w:p>
        </w:tc>
        <w:tc>
          <w:tcPr>
            <w:tcW w:w="992" w:type="dxa"/>
            <w:tcBorders>
              <w:bottom w:val="single" w:sz="8" w:space="0" w:color="auto"/>
            </w:tcBorders>
            <w:shd w:val="clear" w:color="auto" w:fill="C2D69B" w:themeFill="accent3" w:themeFillTint="99"/>
            <w:vAlign w:val="bottom"/>
          </w:tcPr>
          <w:p w14:paraId="5D34301A" w14:textId="77777777" w:rsidR="006B28CD" w:rsidRDefault="006B28CD" w:rsidP="00583048">
            <w:pPr>
              <w:pStyle w:val="Bijschrift"/>
              <w:jc w:val="right"/>
              <w:rPr>
                <w:rFonts w:ascii="Helvetica" w:hAnsi="Helvetica" w:cs="Arial"/>
                <w:lang w:val="en-US"/>
              </w:rPr>
            </w:pPr>
            <w:r>
              <w:rPr>
                <w:rFonts w:ascii="Helvetica" w:hAnsi="Helvetica" w:cs="Arial"/>
                <w:lang w:val="en-US"/>
              </w:rPr>
              <w:t>1,31</w:t>
            </w:r>
          </w:p>
        </w:tc>
        <w:tc>
          <w:tcPr>
            <w:tcW w:w="1134" w:type="dxa"/>
            <w:tcBorders>
              <w:bottom w:val="single" w:sz="8" w:space="0" w:color="auto"/>
            </w:tcBorders>
            <w:shd w:val="clear" w:color="auto" w:fill="C2D69B" w:themeFill="accent3" w:themeFillTint="99"/>
          </w:tcPr>
          <w:p w14:paraId="26E78425" w14:textId="77777777"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tcBorders>
              <w:bottom w:val="single" w:sz="8" w:space="0" w:color="auto"/>
            </w:tcBorders>
            <w:shd w:val="clear" w:color="auto" w:fill="C2D69B" w:themeFill="accent3" w:themeFillTint="99"/>
          </w:tcPr>
          <w:p w14:paraId="5235E611" w14:textId="74703C86" w:rsidR="006B28CD" w:rsidRDefault="006B28CD" w:rsidP="00583048">
            <w:pPr>
              <w:pStyle w:val="Bijschrift"/>
              <w:jc w:val="right"/>
              <w:rPr>
                <w:rFonts w:ascii="Helvetica" w:hAnsi="Helvetica" w:cs="Arial"/>
                <w:lang w:val="en-US"/>
              </w:rPr>
            </w:pPr>
            <w:r>
              <w:rPr>
                <w:rFonts w:ascii="Helvetica" w:hAnsi="Helvetica" w:cs="Arial"/>
                <w:lang w:val="en-US"/>
              </w:rPr>
              <w:t>0</w:t>
            </w:r>
          </w:p>
        </w:tc>
        <w:tc>
          <w:tcPr>
            <w:tcW w:w="1134" w:type="dxa"/>
            <w:tcBorders>
              <w:bottom w:val="single" w:sz="8" w:space="0" w:color="auto"/>
            </w:tcBorders>
            <w:shd w:val="clear" w:color="auto" w:fill="C2D69B" w:themeFill="accent3" w:themeFillTint="99"/>
          </w:tcPr>
          <w:p w14:paraId="2CF89FBE" w14:textId="77777777" w:rsidR="006B28CD" w:rsidRDefault="006B28CD" w:rsidP="00583048">
            <w:pPr>
              <w:pStyle w:val="Bijschrift"/>
              <w:jc w:val="right"/>
              <w:rPr>
                <w:rFonts w:ascii="Helvetica" w:hAnsi="Helvetica" w:cs="Arial"/>
                <w:lang w:val="en-US"/>
              </w:rPr>
            </w:pPr>
          </w:p>
        </w:tc>
        <w:tc>
          <w:tcPr>
            <w:tcW w:w="1134" w:type="dxa"/>
            <w:tcBorders>
              <w:bottom w:val="single" w:sz="8" w:space="0" w:color="auto"/>
            </w:tcBorders>
            <w:shd w:val="clear" w:color="auto" w:fill="C2D69B" w:themeFill="accent3" w:themeFillTint="99"/>
          </w:tcPr>
          <w:p w14:paraId="281AEC30" w14:textId="67C2B3A9" w:rsidR="006B28CD" w:rsidRDefault="00B74C67" w:rsidP="00583048">
            <w:pPr>
              <w:pStyle w:val="Bijschrift"/>
              <w:jc w:val="right"/>
              <w:rPr>
                <w:rFonts w:ascii="Helvetica" w:hAnsi="Helvetica" w:cs="Arial"/>
                <w:lang w:val="en-US"/>
              </w:rPr>
            </w:pPr>
            <w:r>
              <w:rPr>
                <w:rFonts w:ascii="Helvetica" w:hAnsi="Helvetica" w:cs="Arial"/>
                <w:lang w:val="en-US"/>
              </w:rPr>
              <w:t>0</w:t>
            </w:r>
          </w:p>
        </w:tc>
        <w:tc>
          <w:tcPr>
            <w:tcW w:w="1276" w:type="dxa"/>
            <w:tcBorders>
              <w:bottom w:val="single" w:sz="8" w:space="0" w:color="auto"/>
            </w:tcBorders>
            <w:shd w:val="clear" w:color="auto" w:fill="C2D69B" w:themeFill="accent3" w:themeFillTint="99"/>
          </w:tcPr>
          <w:p w14:paraId="1ACEEC94" w14:textId="3703E544" w:rsidR="006B28CD" w:rsidRDefault="006B28CD" w:rsidP="00583048">
            <w:pPr>
              <w:pStyle w:val="Bijschrift"/>
              <w:jc w:val="right"/>
              <w:rPr>
                <w:rFonts w:ascii="Helvetica" w:hAnsi="Helvetica" w:cs="Arial"/>
                <w:lang w:val="en-US"/>
              </w:rPr>
            </w:pPr>
            <w:r>
              <w:rPr>
                <w:rFonts w:ascii="Helvetica" w:hAnsi="Helvetica" w:cs="Arial"/>
                <w:lang w:val="en-US"/>
              </w:rPr>
              <w:t>0</w:t>
            </w:r>
          </w:p>
        </w:tc>
      </w:tr>
      <w:bookmarkEnd w:id="48"/>
    </w:tbl>
    <w:p w14:paraId="0C677C55" w14:textId="77777777" w:rsidR="0095013A" w:rsidRPr="0095013A" w:rsidRDefault="0095013A" w:rsidP="0095013A"/>
    <w:p w14:paraId="79197E00" w14:textId="42FDE616" w:rsidR="001C6D23" w:rsidRDefault="001C6D23" w:rsidP="001C6D23">
      <w:pPr>
        <w:pStyle w:val="Bijschrift"/>
        <w:rPr>
          <w:rFonts w:ascii="Helvetica" w:hAnsi="Helvetica" w:cs="Arial"/>
        </w:rPr>
      </w:pPr>
      <w:r w:rsidRPr="00310475">
        <w:rPr>
          <w:rFonts w:ascii="Helvetica" w:hAnsi="Helvetica" w:cs="Arial"/>
        </w:rPr>
        <w:t xml:space="preserve">Tabel </w:t>
      </w:r>
      <w:r w:rsidRPr="00310475">
        <w:rPr>
          <w:rFonts w:ascii="Helvetica" w:hAnsi="Helvetica" w:cs="Arial"/>
        </w:rPr>
        <w:fldChar w:fldCharType="begin"/>
      </w:r>
      <w:r w:rsidRPr="00310475">
        <w:rPr>
          <w:rFonts w:ascii="Helvetica" w:hAnsi="Helvetica" w:cs="Arial"/>
        </w:rPr>
        <w:instrText xml:space="preserve"> SEQ Tabel \* ARABIC </w:instrText>
      </w:r>
      <w:r w:rsidRPr="00310475">
        <w:rPr>
          <w:rFonts w:ascii="Helvetica" w:hAnsi="Helvetica" w:cs="Arial"/>
        </w:rPr>
        <w:fldChar w:fldCharType="separate"/>
      </w:r>
      <w:r w:rsidR="00E33C8C">
        <w:rPr>
          <w:rFonts w:ascii="Helvetica" w:hAnsi="Helvetica" w:cs="Arial"/>
          <w:noProof/>
        </w:rPr>
        <w:t>1</w:t>
      </w:r>
      <w:r w:rsidRPr="00310475">
        <w:rPr>
          <w:rFonts w:ascii="Helvetica" w:hAnsi="Helvetica" w:cs="Arial"/>
        </w:rPr>
        <w:fldChar w:fldCharType="end"/>
      </w:r>
      <w:r w:rsidRPr="00310475">
        <w:rPr>
          <w:rFonts w:ascii="Helvetica" w:hAnsi="Helvetica" w:cs="Arial"/>
        </w:rPr>
        <w:t xml:space="preserve"> CO</w:t>
      </w:r>
      <w:r w:rsidRPr="00310475">
        <w:rPr>
          <w:rFonts w:ascii="Helvetica" w:hAnsi="Helvetica" w:cs="Arial"/>
          <w:vertAlign w:val="subscript"/>
        </w:rPr>
        <w:t>2</w:t>
      </w:r>
      <w:r w:rsidRPr="00310475">
        <w:rPr>
          <w:rFonts w:ascii="Helvetica" w:hAnsi="Helvetica" w:cs="Arial"/>
        </w:rPr>
        <w:t xml:space="preserve"> uitstoot (in tonnen CO</w:t>
      </w:r>
      <w:r w:rsidRPr="00310475">
        <w:rPr>
          <w:rFonts w:ascii="Helvetica" w:hAnsi="Helvetica" w:cs="Arial"/>
          <w:vertAlign w:val="subscript"/>
        </w:rPr>
        <w:t>2</w:t>
      </w:r>
      <w:r w:rsidRPr="00310475">
        <w:rPr>
          <w:rFonts w:ascii="Helvetica" w:hAnsi="Helvetica" w:cs="Arial"/>
        </w:rPr>
        <w:t>)</w:t>
      </w:r>
    </w:p>
    <w:p w14:paraId="6203BDE2" w14:textId="77777777" w:rsidR="00EA1A84" w:rsidRDefault="00EA1A84" w:rsidP="00EA1A84">
      <w:pPr>
        <w:pStyle w:val="Kop1"/>
        <w:numPr>
          <w:ilvl w:val="0"/>
          <w:numId w:val="0"/>
        </w:numPr>
        <w:spacing w:before="0" w:after="0" w:line="240" w:lineRule="auto"/>
        <w:ind w:left="720"/>
        <w:rPr>
          <w:rFonts w:ascii="Helvetica" w:hAnsi="Helvetica"/>
          <w:b/>
          <w:sz w:val="24"/>
          <w:szCs w:val="24"/>
        </w:rPr>
      </w:pPr>
      <w:bookmarkStart w:id="49" w:name="_Toc280352960"/>
      <w:bookmarkStart w:id="50" w:name="_Toc298250976"/>
      <w:bookmarkStart w:id="51" w:name="_Toc327715428"/>
      <w:bookmarkStart w:id="52" w:name="_Toc327715968"/>
    </w:p>
    <w:p w14:paraId="449878EB" w14:textId="77777777" w:rsidR="009F10A1" w:rsidRPr="001C6D23" w:rsidRDefault="009F10A1" w:rsidP="001C6D23">
      <w:pPr>
        <w:pStyle w:val="Kop1"/>
        <w:spacing w:before="0" w:after="0" w:line="240" w:lineRule="auto"/>
        <w:rPr>
          <w:rFonts w:ascii="Helvetica" w:hAnsi="Helvetica"/>
          <w:b/>
          <w:sz w:val="24"/>
          <w:szCs w:val="24"/>
        </w:rPr>
      </w:pPr>
      <w:r w:rsidRPr="001C6D23">
        <w:rPr>
          <w:rFonts w:ascii="Helvetica" w:hAnsi="Helvetica"/>
          <w:b/>
          <w:sz w:val="24"/>
          <w:szCs w:val="24"/>
        </w:rPr>
        <w:t>Kwantificeringsmethoden</w:t>
      </w:r>
      <w:bookmarkEnd w:id="49"/>
      <w:bookmarkEnd w:id="50"/>
      <w:bookmarkEnd w:id="51"/>
      <w:bookmarkEnd w:id="52"/>
    </w:p>
    <w:p w14:paraId="2863A5D7" w14:textId="77777777" w:rsidR="009F10A1" w:rsidRPr="001C6D23" w:rsidRDefault="009F10A1" w:rsidP="009F10A1">
      <w:pPr>
        <w:rPr>
          <w:rFonts w:ascii="Helvetica" w:hAnsi="Helvetica" w:cs="Arial"/>
          <w:sz w:val="22"/>
          <w:szCs w:val="22"/>
        </w:rPr>
      </w:pPr>
      <w:r w:rsidRPr="001C6D23">
        <w:rPr>
          <w:rFonts w:ascii="Helvetica" w:hAnsi="Helvetica" w:cs="Arial"/>
          <w:sz w:val="22"/>
          <w:szCs w:val="22"/>
        </w:rPr>
        <w:t>Voor het kwantificeren van de CO</w:t>
      </w:r>
      <w:r w:rsidRPr="001C6D23">
        <w:rPr>
          <w:rFonts w:ascii="Helvetica" w:hAnsi="Helvetica" w:cs="Arial"/>
          <w:sz w:val="22"/>
          <w:szCs w:val="22"/>
          <w:vertAlign w:val="subscript"/>
        </w:rPr>
        <w:t>2</w:t>
      </w:r>
      <w:r w:rsidRPr="001C6D23">
        <w:rPr>
          <w:rFonts w:ascii="Helvetica" w:hAnsi="Helvetica" w:cs="Arial"/>
          <w:sz w:val="22"/>
          <w:szCs w:val="22"/>
        </w:rPr>
        <w:t xml:space="preserve"> uitstoot is gebruik gemaakt van een voor </w:t>
      </w:r>
      <w:r w:rsidR="00566032">
        <w:rPr>
          <w:rFonts w:ascii="Helvetica" w:hAnsi="Helvetica" w:cs="Arial"/>
          <w:sz w:val="22"/>
          <w:szCs w:val="22"/>
        </w:rPr>
        <w:t xml:space="preserve">Van Diepen BV </w:t>
      </w:r>
      <w:r w:rsidR="00566032" w:rsidRPr="001C6D23">
        <w:rPr>
          <w:rFonts w:ascii="Helvetica" w:hAnsi="Helvetica" w:cs="Arial"/>
          <w:i/>
          <w:sz w:val="22"/>
          <w:szCs w:val="22"/>
        </w:rPr>
        <w:t xml:space="preserve"> </w:t>
      </w:r>
      <w:r w:rsidRPr="001C6D23">
        <w:rPr>
          <w:rFonts w:ascii="Helvetica" w:hAnsi="Helvetica" w:cs="Arial"/>
          <w:sz w:val="22"/>
          <w:szCs w:val="22"/>
        </w:rPr>
        <w:t>op maat gemaakt model. In het model kunnen alle verbruiken worden ingevuld. Vervolgens wordt de daarbij behorende CO</w:t>
      </w:r>
      <w:r w:rsidRPr="001C6D23">
        <w:rPr>
          <w:rFonts w:ascii="Helvetica" w:hAnsi="Helvetica" w:cs="Arial"/>
          <w:sz w:val="22"/>
          <w:szCs w:val="22"/>
          <w:vertAlign w:val="subscript"/>
        </w:rPr>
        <w:t>2</w:t>
      </w:r>
      <w:r w:rsidRPr="001C6D23">
        <w:rPr>
          <w:rFonts w:ascii="Helvetica" w:hAnsi="Helvetica" w:cs="Arial"/>
          <w:sz w:val="22"/>
          <w:szCs w:val="22"/>
        </w:rPr>
        <w:t xml:space="preserve"> uitstoot autom</w:t>
      </w:r>
      <w:r w:rsidR="00247CC0">
        <w:rPr>
          <w:rFonts w:ascii="Helvetica" w:hAnsi="Helvetica" w:cs="Arial"/>
          <w:sz w:val="22"/>
          <w:szCs w:val="22"/>
        </w:rPr>
        <w:t>atisch</w:t>
      </w:r>
      <w:r w:rsidRPr="001C6D23">
        <w:rPr>
          <w:rFonts w:ascii="Helvetica" w:hAnsi="Helvetica" w:cs="Arial"/>
          <w:sz w:val="22"/>
          <w:szCs w:val="22"/>
        </w:rPr>
        <w:t xml:space="preserve"> berekend en vergeleken met het basisjaar. Hierbij zijn de emissiefactoren uit de </w:t>
      </w:r>
      <w:r w:rsidRPr="001C6D23">
        <w:rPr>
          <w:rFonts w:ascii="Helvetica" w:hAnsi="Helvetica" w:cs="Arial"/>
          <w:spacing w:val="-2"/>
          <w:sz w:val="22"/>
          <w:szCs w:val="22"/>
        </w:rPr>
        <w:t>CO</w:t>
      </w:r>
      <w:r w:rsidRPr="001C6D23">
        <w:rPr>
          <w:rFonts w:ascii="Helvetica" w:hAnsi="Helvetica" w:cs="Arial"/>
          <w:spacing w:val="-2"/>
          <w:sz w:val="22"/>
          <w:szCs w:val="22"/>
          <w:vertAlign w:val="subscript"/>
        </w:rPr>
        <w:t>2</w:t>
      </w:r>
      <w:r w:rsidRPr="001C6D23">
        <w:rPr>
          <w:rFonts w:ascii="Helvetica" w:hAnsi="Helvetica" w:cs="Arial"/>
          <w:sz w:val="22"/>
          <w:szCs w:val="22"/>
        </w:rPr>
        <w:t xml:space="preserve"> prestatieladder gehanteerd. Een screenshot van het </w:t>
      </w:r>
      <w:r w:rsidR="001C6D23" w:rsidRPr="001C6D23">
        <w:rPr>
          <w:rFonts w:ascii="Helvetica" w:hAnsi="Helvetica" w:cs="Arial"/>
          <w:sz w:val="22"/>
          <w:szCs w:val="22"/>
        </w:rPr>
        <w:t xml:space="preserve">model is te vinden in </w:t>
      </w:r>
      <w:r w:rsidR="008059DF">
        <w:rPr>
          <w:rFonts w:ascii="Helvetica" w:hAnsi="Helvetica" w:cs="Arial"/>
          <w:sz w:val="22"/>
          <w:szCs w:val="22"/>
        </w:rPr>
        <w:t>3.A.1-1</w:t>
      </w:r>
      <w:r w:rsidR="001C6D23" w:rsidRPr="001C6D23">
        <w:rPr>
          <w:rFonts w:ascii="Helvetica" w:hAnsi="Helvetica" w:cs="Arial"/>
          <w:sz w:val="22"/>
          <w:szCs w:val="22"/>
        </w:rPr>
        <w:t>.</w:t>
      </w:r>
      <w:r w:rsidR="007E1794">
        <w:rPr>
          <w:rFonts w:ascii="Helvetica" w:hAnsi="Helvetica" w:cs="Arial"/>
          <w:sz w:val="22"/>
          <w:szCs w:val="22"/>
        </w:rPr>
        <w:t xml:space="preserve"> </w:t>
      </w:r>
      <w:r w:rsidRPr="001C6D23">
        <w:rPr>
          <w:rFonts w:ascii="Helvetica" w:hAnsi="Helvetica" w:cs="Arial"/>
          <w:sz w:val="22"/>
          <w:szCs w:val="22"/>
        </w:rPr>
        <w:t xml:space="preserve">In het Energie Meetplan van </w:t>
      </w:r>
      <w:proofErr w:type="spellStart"/>
      <w:r w:rsidR="00566032">
        <w:rPr>
          <w:rFonts w:ascii="Helvetica" w:hAnsi="Helvetica" w:cs="Arial"/>
          <w:sz w:val="22"/>
          <w:szCs w:val="22"/>
        </w:rPr>
        <w:t>Van</w:t>
      </w:r>
      <w:proofErr w:type="spellEnd"/>
      <w:r w:rsidR="00566032">
        <w:rPr>
          <w:rFonts w:ascii="Helvetica" w:hAnsi="Helvetica" w:cs="Arial"/>
          <w:sz w:val="22"/>
          <w:szCs w:val="22"/>
        </w:rPr>
        <w:t xml:space="preserve"> Diepen BV </w:t>
      </w:r>
      <w:r w:rsidR="00566032" w:rsidRPr="001C6D23">
        <w:rPr>
          <w:rFonts w:ascii="Helvetica" w:hAnsi="Helvetica" w:cs="Arial"/>
          <w:i/>
          <w:sz w:val="22"/>
          <w:szCs w:val="22"/>
        </w:rPr>
        <w:t xml:space="preserve"> </w:t>
      </w:r>
      <w:r w:rsidRPr="001C6D23">
        <w:rPr>
          <w:rFonts w:ascii="Helvetica" w:hAnsi="Helvetica" w:cs="Arial"/>
          <w:sz w:val="22"/>
          <w:szCs w:val="22"/>
        </w:rPr>
        <w:t xml:space="preserve">wordt beschreven waar de brongegevens per energiestroom vandaan komen. </w:t>
      </w:r>
    </w:p>
    <w:p w14:paraId="11DDF41D" w14:textId="77777777" w:rsidR="00FA3B66" w:rsidRDefault="00FA3B66" w:rsidP="009F10A1">
      <w:pPr>
        <w:rPr>
          <w:rFonts w:ascii="Helvetica" w:hAnsi="Helvetica"/>
          <w:szCs w:val="18"/>
        </w:rPr>
      </w:pPr>
    </w:p>
    <w:p w14:paraId="0AEAA932" w14:textId="77777777" w:rsidR="009F10A1" w:rsidRPr="001C6D23" w:rsidRDefault="009F10A1" w:rsidP="001C6D23">
      <w:pPr>
        <w:pStyle w:val="Kop1"/>
        <w:spacing w:before="0" w:after="0" w:line="240" w:lineRule="auto"/>
        <w:rPr>
          <w:rFonts w:ascii="Helvetica" w:hAnsi="Helvetica"/>
          <w:b/>
          <w:sz w:val="24"/>
          <w:szCs w:val="24"/>
        </w:rPr>
      </w:pPr>
      <w:bookmarkStart w:id="53" w:name="_Toc280352961"/>
      <w:bookmarkStart w:id="54" w:name="_Toc298250977"/>
      <w:bookmarkStart w:id="55" w:name="_Toc327715429"/>
      <w:bookmarkStart w:id="56" w:name="_Toc327715969"/>
      <w:r w:rsidRPr="001C6D23">
        <w:rPr>
          <w:rFonts w:ascii="Helvetica" w:hAnsi="Helvetica"/>
          <w:b/>
          <w:sz w:val="24"/>
          <w:szCs w:val="24"/>
        </w:rPr>
        <w:t>Emissiefactoren</w:t>
      </w:r>
      <w:bookmarkEnd w:id="53"/>
      <w:bookmarkEnd w:id="54"/>
      <w:bookmarkEnd w:id="55"/>
      <w:bookmarkEnd w:id="56"/>
    </w:p>
    <w:p w14:paraId="6769A087" w14:textId="748343CB" w:rsidR="00BE7B82" w:rsidRDefault="009F10A1" w:rsidP="00BE7B82">
      <w:pPr>
        <w:rPr>
          <w:rFonts w:ascii="Helvetica" w:hAnsi="Helvetica" w:cs="Arial"/>
          <w:sz w:val="22"/>
          <w:szCs w:val="22"/>
        </w:rPr>
      </w:pPr>
      <w:r w:rsidRPr="001C6D23">
        <w:rPr>
          <w:rFonts w:ascii="Helvetica" w:hAnsi="Helvetica" w:cs="Arial"/>
          <w:sz w:val="22"/>
          <w:szCs w:val="22"/>
        </w:rPr>
        <w:t>Voor de inventarisatie van de CO</w:t>
      </w:r>
      <w:r w:rsidRPr="001C6D23">
        <w:rPr>
          <w:rFonts w:ascii="Helvetica" w:hAnsi="Helvetica" w:cs="Arial"/>
          <w:sz w:val="22"/>
          <w:szCs w:val="22"/>
          <w:vertAlign w:val="subscript"/>
        </w:rPr>
        <w:t>2</w:t>
      </w:r>
      <w:r w:rsidRPr="001C6D23">
        <w:rPr>
          <w:rFonts w:ascii="Helvetica" w:hAnsi="Helvetica" w:cs="Arial"/>
          <w:sz w:val="22"/>
          <w:szCs w:val="22"/>
        </w:rPr>
        <w:t xml:space="preserve"> uitstoot van </w:t>
      </w:r>
      <w:proofErr w:type="spellStart"/>
      <w:r w:rsidR="00566032">
        <w:rPr>
          <w:rFonts w:ascii="Helvetica" w:hAnsi="Helvetica" w:cs="Arial"/>
          <w:sz w:val="22"/>
          <w:szCs w:val="22"/>
        </w:rPr>
        <w:t>Van</w:t>
      </w:r>
      <w:proofErr w:type="spellEnd"/>
      <w:r w:rsidR="00566032">
        <w:rPr>
          <w:rFonts w:ascii="Helvetica" w:hAnsi="Helvetica" w:cs="Arial"/>
          <w:sz w:val="22"/>
          <w:szCs w:val="22"/>
        </w:rPr>
        <w:t xml:space="preserve"> Diepen BV </w:t>
      </w:r>
      <w:r w:rsidR="00566032" w:rsidRPr="001C6D23">
        <w:rPr>
          <w:rFonts w:ascii="Helvetica" w:hAnsi="Helvetica" w:cs="Arial"/>
          <w:i/>
          <w:sz w:val="22"/>
          <w:szCs w:val="22"/>
        </w:rPr>
        <w:t xml:space="preserve"> </w:t>
      </w:r>
      <w:r w:rsidRPr="001C6D23">
        <w:rPr>
          <w:rFonts w:ascii="Helvetica" w:hAnsi="Helvetica" w:cs="Arial"/>
          <w:sz w:val="22"/>
          <w:szCs w:val="22"/>
        </w:rPr>
        <w:t xml:space="preserve">zijn de emissiefactoren uit de </w:t>
      </w:r>
      <w:hyperlink r:id="rId12" w:history="1">
        <w:r w:rsidR="009D60A2" w:rsidRPr="00660154">
          <w:rPr>
            <w:rStyle w:val="Hyperlink"/>
            <w:rFonts w:ascii="Helvetica" w:hAnsi="Helvetica" w:cs="Arial"/>
            <w:sz w:val="22"/>
            <w:szCs w:val="22"/>
          </w:rPr>
          <w:t>www.co2emissiefactoren.nl</w:t>
        </w:r>
      </w:hyperlink>
      <w:r w:rsidR="009D60A2">
        <w:rPr>
          <w:rFonts w:ascii="Helvetica" w:hAnsi="Helvetica" w:cs="Arial"/>
          <w:sz w:val="22"/>
          <w:szCs w:val="22"/>
        </w:rPr>
        <w:t xml:space="preserve">. </w:t>
      </w:r>
      <w:r w:rsidR="00BB1BF6" w:rsidRPr="001C6D23">
        <w:rPr>
          <w:rFonts w:ascii="Helvetica" w:hAnsi="Helvetica" w:cs="Arial"/>
          <w:sz w:val="22"/>
          <w:szCs w:val="22"/>
        </w:rPr>
        <w:t xml:space="preserve"> </w:t>
      </w:r>
      <w:r w:rsidRPr="001C6D23">
        <w:rPr>
          <w:rFonts w:ascii="Helvetica" w:hAnsi="Helvetica" w:cs="Arial"/>
          <w:sz w:val="22"/>
          <w:szCs w:val="22"/>
        </w:rPr>
        <w:t>gehanteerd. Omdat het gaat om specifieke emissiefactoren op nationaal niveau, zijn de gehanteerde emissiefactoren geschikt voor het omrekenen van de broeikasgas activiteiten data naar de daarmee gepaard gaande CO</w:t>
      </w:r>
      <w:r w:rsidRPr="001C6D23">
        <w:rPr>
          <w:rFonts w:ascii="Helvetica" w:hAnsi="Helvetica" w:cs="Arial"/>
          <w:sz w:val="22"/>
          <w:szCs w:val="22"/>
          <w:vertAlign w:val="subscript"/>
        </w:rPr>
        <w:t>2</w:t>
      </w:r>
      <w:r w:rsidRPr="001C6D23">
        <w:rPr>
          <w:rFonts w:ascii="Helvetica" w:hAnsi="Helvetica" w:cs="Arial"/>
          <w:sz w:val="22"/>
          <w:szCs w:val="22"/>
        </w:rPr>
        <w:t xml:space="preserve"> emissie. Alle gebruikte emissiefactoren zijn opgenomen in de berekening van de CO</w:t>
      </w:r>
      <w:r w:rsidRPr="001C6D23">
        <w:rPr>
          <w:rFonts w:ascii="Helvetica" w:hAnsi="Helvetica" w:cs="Arial"/>
          <w:sz w:val="22"/>
          <w:szCs w:val="22"/>
          <w:vertAlign w:val="subscript"/>
        </w:rPr>
        <w:t>2</w:t>
      </w:r>
      <w:r w:rsidRPr="001C6D23">
        <w:rPr>
          <w:rFonts w:ascii="Helvetica" w:hAnsi="Helvetica" w:cs="Arial"/>
          <w:sz w:val="22"/>
          <w:szCs w:val="22"/>
        </w:rPr>
        <w:t xml:space="preserve"> footprint. </w:t>
      </w:r>
      <w:r w:rsidR="00BB1BF6" w:rsidRPr="001C6D23">
        <w:rPr>
          <w:rFonts w:ascii="Helvetica" w:hAnsi="Helvetica" w:cs="Arial"/>
          <w:sz w:val="22"/>
          <w:szCs w:val="22"/>
        </w:rPr>
        <w:t xml:space="preserve">De emissiefactoren van </w:t>
      </w:r>
      <w:proofErr w:type="spellStart"/>
      <w:r w:rsidR="007E1794">
        <w:rPr>
          <w:rFonts w:ascii="Helvetica" w:hAnsi="Helvetica" w:cs="Arial"/>
          <w:sz w:val="22"/>
          <w:szCs w:val="22"/>
        </w:rPr>
        <w:t>Van</w:t>
      </w:r>
      <w:proofErr w:type="spellEnd"/>
      <w:r w:rsidR="007E1794">
        <w:rPr>
          <w:rFonts w:ascii="Helvetica" w:hAnsi="Helvetica" w:cs="Arial"/>
          <w:sz w:val="22"/>
          <w:szCs w:val="22"/>
        </w:rPr>
        <w:t xml:space="preserve"> Diepen BV</w:t>
      </w:r>
      <w:r w:rsidR="00247CC0" w:rsidRPr="001C6D23">
        <w:rPr>
          <w:rFonts w:ascii="Helvetica" w:hAnsi="Helvetica" w:cs="Arial"/>
          <w:i/>
          <w:sz w:val="22"/>
          <w:szCs w:val="22"/>
        </w:rPr>
        <w:t xml:space="preserve"> </w:t>
      </w:r>
      <w:r w:rsidR="00BB1BF6" w:rsidRPr="001C6D23">
        <w:rPr>
          <w:rFonts w:ascii="Helvetica" w:hAnsi="Helvetica" w:cs="Arial"/>
          <w:sz w:val="22"/>
          <w:szCs w:val="22"/>
        </w:rPr>
        <w:t>zullen te allen tijde mee gaan met wijzigingen in de emissiefactoren</w:t>
      </w:r>
      <w:r w:rsidR="00BE7B82" w:rsidRPr="00BE7B82">
        <w:rPr>
          <w:rFonts w:ascii="Helvetica" w:hAnsi="Helvetica" w:cs="Arial"/>
          <w:sz w:val="22"/>
          <w:szCs w:val="22"/>
        </w:rPr>
        <w:t xml:space="preserve"> zoals gepubliceerd op </w:t>
      </w:r>
      <w:hyperlink r:id="rId13" w:history="1">
        <w:r w:rsidR="00BE7B82" w:rsidRPr="00AA36D7">
          <w:rPr>
            <w:rStyle w:val="Hyperlink"/>
            <w:rFonts w:ascii="Helvetica" w:hAnsi="Helvetica" w:cs="Arial"/>
            <w:sz w:val="22"/>
            <w:szCs w:val="22"/>
          </w:rPr>
          <w:t>www.co2emissiefactoren.nl</w:t>
        </w:r>
      </w:hyperlink>
      <w:r w:rsidR="00BE7B82">
        <w:rPr>
          <w:rFonts w:ascii="Helvetica" w:hAnsi="Helvetica" w:cs="Arial"/>
          <w:sz w:val="22"/>
          <w:szCs w:val="22"/>
        </w:rPr>
        <w:t xml:space="preserve"> </w:t>
      </w:r>
      <w:r w:rsidR="00CB137B">
        <w:rPr>
          <w:rFonts w:ascii="Helvetica" w:hAnsi="Helvetica" w:cs="Arial"/>
          <w:sz w:val="22"/>
          <w:szCs w:val="22"/>
        </w:rPr>
        <w:t xml:space="preserve">versie </w:t>
      </w:r>
      <w:r w:rsidR="00B84523">
        <w:rPr>
          <w:rFonts w:ascii="Helvetica" w:hAnsi="Helvetica" w:cs="Arial"/>
          <w:sz w:val="22"/>
          <w:szCs w:val="22"/>
        </w:rPr>
        <w:t>januari</w:t>
      </w:r>
      <w:r w:rsidR="00BE7B82" w:rsidRPr="00BE7B82">
        <w:rPr>
          <w:rFonts w:ascii="Helvetica" w:hAnsi="Helvetica" w:cs="Arial"/>
          <w:sz w:val="22"/>
          <w:szCs w:val="22"/>
        </w:rPr>
        <w:t xml:space="preserve"> 20</w:t>
      </w:r>
      <w:r w:rsidR="00B84523">
        <w:rPr>
          <w:rFonts w:ascii="Helvetica" w:hAnsi="Helvetica" w:cs="Arial"/>
          <w:sz w:val="22"/>
          <w:szCs w:val="22"/>
        </w:rPr>
        <w:t>2</w:t>
      </w:r>
      <w:r w:rsidR="00EB025D">
        <w:rPr>
          <w:rFonts w:ascii="Helvetica" w:hAnsi="Helvetica" w:cs="Arial"/>
          <w:sz w:val="22"/>
          <w:szCs w:val="22"/>
        </w:rPr>
        <w:t>3</w:t>
      </w:r>
      <w:r w:rsidR="00BE7B82">
        <w:rPr>
          <w:rFonts w:ascii="Helvetica" w:hAnsi="Helvetica" w:cs="Arial"/>
          <w:sz w:val="22"/>
          <w:szCs w:val="22"/>
        </w:rPr>
        <w:t>.</w:t>
      </w:r>
      <w:r w:rsidR="008D5F16">
        <w:rPr>
          <w:rFonts w:ascii="Helvetica" w:hAnsi="Helvetica" w:cs="Arial"/>
          <w:sz w:val="22"/>
          <w:szCs w:val="22"/>
        </w:rPr>
        <w:t xml:space="preserve">  </w:t>
      </w:r>
    </w:p>
    <w:p w14:paraId="5A40522D" w14:textId="77777777" w:rsidR="00EA1A84" w:rsidRPr="00310475" w:rsidRDefault="00BB1BF6" w:rsidP="009F10A1">
      <w:pPr>
        <w:rPr>
          <w:rFonts w:ascii="Helvetica" w:hAnsi="Helvetica" w:cs="Arial"/>
          <w:szCs w:val="18"/>
        </w:rPr>
      </w:pPr>
      <w:r w:rsidRPr="001C6D23">
        <w:rPr>
          <w:rFonts w:ascii="Helvetica" w:hAnsi="Helvetica" w:cs="Arial"/>
          <w:sz w:val="22"/>
          <w:szCs w:val="22"/>
        </w:rPr>
        <w:t xml:space="preserve"> </w:t>
      </w:r>
    </w:p>
    <w:p w14:paraId="709D8134" w14:textId="77777777" w:rsidR="009F10A1" w:rsidRPr="001C6D23" w:rsidRDefault="009F10A1" w:rsidP="001C6D23">
      <w:pPr>
        <w:pStyle w:val="Kop1"/>
        <w:spacing w:before="0" w:after="0" w:line="240" w:lineRule="auto"/>
        <w:rPr>
          <w:rFonts w:ascii="Helvetica" w:hAnsi="Helvetica"/>
          <w:b/>
          <w:sz w:val="24"/>
          <w:szCs w:val="24"/>
        </w:rPr>
      </w:pPr>
      <w:bookmarkStart w:id="57" w:name="_Toc280352962"/>
      <w:bookmarkStart w:id="58" w:name="_Toc298250978"/>
      <w:bookmarkStart w:id="59" w:name="_Toc327715430"/>
      <w:bookmarkStart w:id="60" w:name="_Toc327715970"/>
      <w:r w:rsidRPr="001C6D23">
        <w:rPr>
          <w:rFonts w:ascii="Helvetica" w:hAnsi="Helvetica"/>
          <w:b/>
          <w:sz w:val="24"/>
          <w:szCs w:val="24"/>
        </w:rPr>
        <w:t>Onzekerheden</w:t>
      </w:r>
      <w:bookmarkEnd w:id="57"/>
      <w:bookmarkEnd w:id="58"/>
      <w:bookmarkEnd w:id="59"/>
      <w:bookmarkEnd w:id="60"/>
    </w:p>
    <w:p w14:paraId="6572A791" w14:textId="77777777" w:rsidR="00F31990" w:rsidRDefault="009F10A1" w:rsidP="001C6D23">
      <w:pPr>
        <w:rPr>
          <w:rFonts w:ascii="Helvetica" w:hAnsi="Helvetica"/>
          <w:sz w:val="22"/>
          <w:szCs w:val="22"/>
        </w:rPr>
      </w:pPr>
      <w:r w:rsidRPr="001C6D23">
        <w:rPr>
          <w:rFonts w:ascii="Helvetica" w:hAnsi="Helvetica"/>
          <w:sz w:val="22"/>
          <w:szCs w:val="22"/>
        </w:rPr>
        <w:t>De gepresenteerde resultaten moeten worden gezien als de beste inschatting van de werkelijke waardes. Bijna alle gebruikte gegevens voor de berekening van de CO</w:t>
      </w:r>
      <w:r w:rsidRPr="001C6D23">
        <w:rPr>
          <w:rFonts w:ascii="Helvetica" w:hAnsi="Helvetica"/>
          <w:sz w:val="22"/>
          <w:szCs w:val="22"/>
          <w:vertAlign w:val="subscript"/>
        </w:rPr>
        <w:t xml:space="preserve">2 </w:t>
      </w:r>
      <w:r w:rsidRPr="001C6D23">
        <w:rPr>
          <w:rFonts w:ascii="Helvetica" w:hAnsi="Helvetica"/>
          <w:sz w:val="22"/>
          <w:szCs w:val="22"/>
        </w:rPr>
        <w:t>footprint zijn gebaseerd op facturen en/of werkelijk gemeten aantallen.</w:t>
      </w:r>
    </w:p>
    <w:p w14:paraId="7A93534B" w14:textId="77777777" w:rsidR="001C6D23" w:rsidRDefault="00F31990" w:rsidP="001C6D23">
      <w:pPr>
        <w:rPr>
          <w:rFonts w:ascii="Helvetica" w:hAnsi="Helvetica"/>
          <w:sz w:val="22"/>
          <w:szCs w:val="22"/>
        </w:rPr>
      </w:pPr>
      <w:r>
        <w:rPr>
          <w:rFonts w:ascii="Helvetica" w:hAnsi="Helvetica"/>
          <w:sz w:val="22"/>
          <w:szCs w:val="22"/>
        </w:rPr>
        <w:t xml:space="preserve">De facturatie van aardgas loopt van </w:t>
      </w:r>
      <w:r w:rsidR="00536DA4">
        <w:rPr>
          <w:rFonts w:ascii="Helvetica" w:hAnsi="Helvetica"/>
          <w:sz w:val="22"/>
          <w:szCs w:val="22"/>
        </w:rPr>
        <w:t xml:space="preserve">november </w:t>
      </w:r>
      <w:r>
        <w:rPr>
          <w:rFonts w:ascii="Helvetica" w:hAnsi="Helvetica"/>
          <w:sz w:val="22"/>
          <w:szCs w:val="22"/>
        </w:rPr>
        <w:t xml:space="preserve">tot </w:t>
      </w:r>
      <w:r w:rsidR="00B84523">
        <w:rPr>
          <w:rFonts w:ascii="Helvetica" w:hAnsi="Helvetica"/>
          <w:sz w:val="22"/>
          <w:szCs w:val="22"/>
        </w:rPr>
        <w:t>november</w:t>
      </w:r>
      <w:r>
        <w:rPr>
          <w:rFonts w:ascii="Helvetica" w:hAnsi="Helvetica"/>
          <w:sz w:val="22"/>
          <w:szCs w:val="22"/>
        </w:rPr>
        <w:t xml:space="preserve">. </w:t>
      </w:r>
      <w:r w:rsidR="00B84523">
        <w:rPr>
          <w:rFonts w:ascii="Helvetica" w:hAnsi="Helvetica"/>
          <w:sz w:val="22"/>
          <w:szCs w:val="22"/>
        </w:rPr>
        <w:t>Het verbruik is bepaald aan de hand van de meterstanden aan het begin van elk jaar</w:t>
      </w:r>
      <w:r w:rsidR="00536DA4">
        <w:rPr>
          <w:rFonts w:ascii="Helvetica" w:hAnsi="Helvetica"/>
          <w:sz w:val="22"/>
          <w:szCs w:val="22"/>
        </w:rPr>
        <w:t xml:space="preserve">. </w:t>
      </w:r>
      <w:r w:rsidR="009F10A1" w:rsidRPr="001C6D23">
        <w:rPr>
          <w:rFonts w:ascii="Helvetica" w:hAnsi="Helvetica"/>
          <w:sz w:val="22"/>
          <w:szCs w:val="22"/>
        </w:rPr>
        <w:t>Hierdoor is de</w:t>
      </w:r>
      <w:r>
        <w:rPr>
          <w:rFonts w:ascii="Helvetica" w:hAnsi="Helvetica"/>
          <w:sz w:val="22"/>
          <w:szCs w:val="22"/>
        </w:rPr>
        <w:t xml:space="preserve"> onzekerheidsmarge zeer gering en leidt niet tot andere inzichten en/of reductiekansen.</w:t>
      </w:r>
      <w:r w:rsidR="009F10A1" w:rsidRPr="001C6D23">
        <w:rPr>
          <w:rFonts w:ascii="Helvetica" w:hAnsi="Helvetica"/>
          <w:sz w:val="22"/>
          <w:szCs w:val="22"/>
        </w:rPr>
        <w:t xml:space="preserve"> </w:t>
      </w:r>
      <w:bookmarkStart w:id="61" w:name="_Toc327715470"/>
      <w:bookmarkStart w:id="62" w:name="_Toc327715971"/>
    </w:p>
    <w:p w14:paraId="00EF5A7D" w14:textId="77777777" w:rsidR="00536DA4" w:rsidRDefault="00C304F1" w:rsidP="001C6D23">
      <w:pPr>
        <w:rPr>
          <w:rFonts w:ascii="Helvetica" w:hAnsi="Helvetica"/>
          <w:sz w:val="22"/>
          <w:szCs w:val="22"/>
        </w:rPr>
      </w:pPr>
      <w:r>
        <w:rPr>
          <w:rFonts w:ascii="Helvetica" w:hAnsi="Helvetica"/>
          <w:sz w:val="22"/>
          <w:szCs w:val="22"/>
        </w:rPr>
        <w:t>Elk jaar kan er sprake zijn van een klein verschil in de voorraad diesel per 31 december. Dit mogelijke verschil is verwaarloosbaar ten opzichte van de totale emissie.</w:t>
      </w:r>
    </w:p>
    <w:p w14:paraId="796F12CC" w14:textId="77777777" w:rsidR="00A56B06" w:rsidRPr="001C6D23" w:rsidRDefault="00F31990" w:rsidP="001C6D23">
      <w:pPr>
        <w:rPr>
          <w:rFonts w:ascii="Helvetica" w:hAnsi="Helvetica"/>
          <w:sz w:val="22"/>
          <w:szCs w:val="22"/>
        </w:rPr>
      </w:pPr>
      <w:r>
        <w:rPr>
          <w:rFonts w:ascii="Helvetica" w:hAnsi="Helvetica"/>
          <w:sz w:val="22"/>
          <w:szCs w:val="22"/>
        </w:rPr>
        <w:t>Het verbruik van overige brandstoffen als lasgassen, benzine</w:t>
      </w:r>
      <w:r w:rsidR="00C03956">
        <w:rPr>
          <w:rFonts w:ascii="Helvetica" w:hAnsi="Helvetica"/>
          <w:sz w:val="22"/>
          <w:szCs w:val="22"/>
        </w:rPr>
        <w:t xml:space="preserve"> </w:t>
      </w:r>
      <w:r>
        <w:rPr>
          <w:rFonts w:ascii="Helvetica" w:hAnsi="Helvetica"/>
          <w:sz w:val="22"/>
          <w:szCs w:val="22"/>
        </w:rPr>
        <w:t xml:space="preserve"> handgereedschap</w:t>
      </w:r>
      <w:r w:rsidR="00C03956">
        <w:rPr>
          <w:rFonts w:ascii="Helvetica" w:hAnsi="Helvetica"/>
          <w:sz w:val="22"/>
          <w:szCs w:val="22"/>
        </w:rPr>
        <w:t xml:space="preserve"> </w:t>
      </w:r>
      <w:r w:rsidR="00C03956" w:rsidRPr="00FE254E">
        <w:rPr>
          <w:rFonts w:ascii="Helvetica" w:hAnsi="Helvetica"/>
          <w:sz w:val="22"/>
          <w:szCs w:val="22"/>
        </w:rPr>
        <w:t>en koudemiddelen</w:t>
      </w:r>
      <w:r w:rsidR="00C03956">
        <w:rPr>
          <w:rFonts w:ascii="Helvetica" w:hAnsi="Helvetica"/>
          <w:sz w:val="22"/>
          <w:szCs w:val="22"/>
        </w:rPr>
        <w:t>,</w:t>
      </w:r>
      <w:r>
        <w:rPr>
          <w:rFonts w:ascii="Helvetica" w:hAnsi="Helvetica"/>
          <w:sz w:val="22"/>
          <w:szCs w:val="22"/>
        </w:rPr>
        <w:t xml:space="preserve"> zijn niet van invloed op de footprint.</w:t>
      </w:r>
    </w:p>
    <w:p w14:paraId="35310E74" w14:textId="77777777" w:rsidR="001C6D23" w:rsidRDefault="001C6D23" w:rsidP="001C6D23">
      <w:pPr>
        <w:rPr>
          <w:rFonts w:ascii="Helvetica" w:hAnsi="Helvetica"/>
        </w:rPr>
      </w:pPr>
    </w:p>
    <w:p w14:paraId="36043E33" w14:textId="77777777" w:rsidR="009F10A1" w:rsidRPr="001C6D23" w:rsidRDefault="009F10A1" w:rsidP="001C6D23">
      <w:pPr>
        <w:pStyle w:val="Kop1"/>
        <w:spacing w:before="0" w:after="0" w:line="240" w:lineRule="auto"/>
        <w:rPr>
          <w:rFonts w:ascii="Helvetica" w:hAnsi="Helvetica"/>
          <w:b/>
          <w:sz w:val="24"/>
          <w:szCs w:val="24"/>
        </w:rPr>
      </w:pPr>
      <w:r w:rsidRPr="001C6D23">
        <w:rPr>
          <w:rFonts w:ascii="Helvetica" w:hAnsi="Helvetica"/>
          <w:b/>
          <w:sz w:val="24"/>
          <w:szCs w:val="24"/>
        </w:rPr>
        <w:t xml:space="preserve">Rapportage volgens ISO 14064 deel </w:t>
      </w:r>
      <w:r w:rsidR="008D5F16">
        <w:rPr>
          <w:rFonts w:ascii="Helvetica" w:hAnsi="Helvetica"/>
          <w:b/>
          <w:sz w:val="24"/>
          <w:szCs w:val="24"/>
        </w:rPr>
        <w:t>9</w:t>
      </w:r>
      <w:bookmarkEnd w:id="61"/>
      <w:bookmarkEnd w:id="62"/>
    </w:p>
    <w:p w14:paraId="5BD2FDFF" w14:textId="77777777" w:rsidR="009F10A1" w:rsidRDefault="009F10A1" w:rsidP="009F10A1">
      <w:pPr>
        <w:rPr>
          <w:rFonts w:ascii="Helvetica" w:hAnsi="Helvetica"/>
          <w:sz w:val="22"/>
          <w:szCs w:val="22"/>
        </w:rPr>
      </w:pPr>
      <w:r w:rsidRPr="001C6D23">
        <w:rPr>
          <w:rFonts w:ascii="Helvetica" w:hAnsi="Helvetica"/>
          <w:sz w:val="22"/>
          <w:szCs w:val="22"/>
        </w:rPr>
        <w:t xml:space="preserve">Dit rapport is opgesteld volgens de eisen uit ISO 14064-1 paragraaf </w:t>
      </w:r>
      <w:r w:rsidR="008D5F16">
        <w:rPr>
          <w:rFonts w:ascii="Helvetica" w:hAnsi="Helvetica"/>
          <w:sz w:val="22"/>
          <w:szCs w:val="22"/>
        </w:rPr>
        <w:t>9</w:t>
      </w:r>
      <w:r w:rsidRPr="001C6D23">
        <w:rPr>
          <w:rFonts w:ascii="Helvetica" w:hAnsi="Helvetica"/>
          <w:sz w:val="22"/>
          <w:szCs w:val="22"/>
        </w:rPr>
        <w:t>.</w:t>
      </w:r>
      <w:r w:rsidR="008D5F16">
        <w:rPr>
          <w:rFonts w:ascii="Helvetica" w:hAnsi="Helvetica"/>
          <w:sz w:val="22"/>
          <w:szCs w:val="22"/>
        </w:rPr>
        <w:t>3.1</w:t>
      </w:r>
      <w:r w:rsidRPr="001C6D23">
        <w:rPr>
          <w:rFonts w:ascii="Helvetica" w:hAnsi="Helvetica"/>
          <w:sz w:val="22"/>
          <w:szCs w:val="22"/>
        </w:rPr>
        <w:t xml:space="preserve"> In </w:t>
      </w:r>
      <w:r w:rsidR="008D5F16">
        <w:rPr>
          <w:rFonts w:ascii="Helvetica" w:hAnsi="Helvetica"/>
          <w:sz w:val="22"/>
          <w:szCs w:val="22"/>
        </w:rPr>
        <w:t>onderstaande tabel</w:t>
      </w:r>
      <w:r w:rsidRPr="001C6D23">
        <w:rPr>
          <w:rFonts w:ascii="Helvetica" w:hAnsi="Helvetica"/>
          <w:sz w:val="22"/>
          <w:szCs w:val="22"/>
        </w:rPr>
        <w:t xml:space="preserve"> is een cross </w:t>
      </w:r>
      <w:proofErr w:type="spellStart"/>
      <w:r w:rsidRPr="001C6D23">
        <w:rPr>
          <w:rFonts w:ascii="Helvetica" w:hAnsi="Helvetica"/>
          <w:sz w:val="22"/>
          <w:szCs w:val="22"/>
        </w:rPr>
        <w:t>reference</w:t>
      </w:r>
      <w:proofErr w:type="spellEnd"/>
      <w:r w:rsidRPr="001C6D23">
        <w:rPr>
          <w:rFonts w:ascii="Helvetica" w:hAnsi="Helvetica"/>
          <w:sz w:val="22"/>
          <w:szCs w:val="22"/>
        </w:rPr>
        <w:t xml:space="preserve"> gemaakt van de onderdelen uit ISO 14064 en de hoofdstukken in het rapport.</w:t>
      </w:r>
    </w:p>
    <w:p w14:paraId="486706D0" w14:textId="77777777" w:rsidR="008D5F16" w:rsidRDefault="008D5F16" w:rsidP="008D5F16">
      <w:pPr>
        <w:pStyle w:val="Geenafstand"/>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6306"/>
        <w:gridCol w:w="1842"/>
      </w:tblGrid>
      <w:tr w:rsidR="008D5F16" w:rsidRPr="00846DCD" w14:paraId="55B52F13" w14:textId="77777777" w:rsidTr="007C426A">
        <w:tc>
          <w:tcPr>
            <w:tcW w:w="7225" w:type="dxa"/>
            <w:gridSpan w:val="2"/>
            <w:shd w:val="clear" w:color="auto" w:fill="0B3B60"/>
          </w:tcPr>
          <w:p w14:paraId="337D37F9" w14:textId="77777777" w:rsidR="008D5F16" w:rsidRPr="00846DCD" w:rsidRDefault="008D5F16" w:rsidP="007C426A">
            <w:pPr>
              <w:pStyle w:val="Geenafstand"/>
              <w:rPr>
                <w:b/>
                <w:color w:val="FFFFFF" w:themeColor="background1"/>
              </w:rPr>
            </w:pPr>
            <w:r>
              <w:rPr>
                <w:b/>
                <w:color w:val="FFFFFF" w:themeColor="background1"/>
              </w:rPr>
              <w:t>Eisen § 9</w:t>
            </w:r>
            <w:r w:rsidRPr="00846DCD">
              <w:rPr>
                <w:b/>
                <w:color w:val="FFFFFF" w:themeColor="background1"/>
              </w:rPr>
              <w:t>.3 GHG report content</w:t>
            </w:r>
          </w:p>
        </w:tc>
        <w:tc>
          <w:tcPr>
            <w:tcW w:w="1842" w:type="dxa"/>
            <w:shd w:val="clear" w:color="auto" w:fill="0B3B60"/>
          </w:tcPr>
          <w:p w14:paraId="65D92033" w14:textId="77777777" w:rsidR="008D5F16" w:rsidRPr="00846DCD" w:rsidRDefault="008D5F16" w:rsidP="007C426A">
            <w:pPr>
              <w:pStyle w:val="Geenafstand"/>
              <w:rPr>
                <w:b/>
                <w:color w:val="FFFFFF" w:themeColor="background1"/>
              </w:rPr>
            </w:pPr>
            <w:r>
              <w:rPr>
                <w:b/>
                <w:color w:val="FFFFFF" w:themeColor="background1"/>
              </w:rPr>
              <w:t xml:space="preserve">Deze rapportage </w:t>
            </w:r>
          </w:p>
        </w:tc>
      </w:tr>
      <w:tr w:rsidR="008D5F16" w:rsidRPr="00B55DDC" w14:paraId="094586BB" w14:textId="77777777" w:rsidTr="007C426A">
        <w:tc>
          <w:tcPr>
            <w:tcW w:w="919" w:type="dxa"/>
          </w:tcPr>
          <w:p w14:paraId="22DBD0FC" w14:textId="77777777" w:rsidR="008D5F16" w:rsidRPr="00B55DDC" w:rsidRDefault="008D5F16" w:rsidP="007C426A">
            <w:pPr>
              <w:pStyle w:val="Geenafstand"/>
            </w:pPr>
            <w:r>
              <w:t>a</w:t>
            </w:r>
          </w:p>
        </w:tc>
        <w:tc>
          <w:tcPr>
            <w:tcW w:w="6306" w:type="dxa"/>
          </w:tcPr>
          <w:p w14:paraId="65ED084B" w14:textId="77777777" w:rsidR="008D5F16" w:rsidRPr="00EA7268" w:rsidRDefault="008D5F16" w:rsidP="007C426A">
            <w:pPr>
              <w:pStyle w:val="Geenafstand"/>
              <w:rPr>
                <w:lang w:val="en-US"/>
              </w:rPr>
            </w:pPr>
            <w:r w:rsidRPr="00EA7268">
              <w:rPr>
                <w:lang w:val="en-US"/>
              </w:rPr>
              <w:t>Description of the reporting organization</w:t>
            </w:r>
          </w:p>
        </w:tc>
        <w:tc>
          <w:tcPr>
            <w:tcW w:w="1842" w:type="dxa"/>
          </w:tcPr>
          <w:p w14:paraId="516420A7" w14:textId="77777777" w:rsidR="008D5F16" w:rsidRPr="00B55DDC" w:rsidRDefault="008D5F16" w:rsidP="007C426A">
            <w:pPr>
              <w:pStyle w:val="Geenafstand"/>
            </w:pPr>
            <w:r w:rsidRPr="00B55DDC">
              <w:t>2</w:t>
            </w:r>
          </w:p>
        </w:tc>
      </w:tr>
      <w:tr w:rsidR="008D5F16" w:rsidRPr="00B55DDC" w14:paraId="502C5A75" w14:textId="77777777" w:rsidTr="007C426A">
        <w:tc>
          <w:tcPr>
            <w:tcW w:w="919" w:type="dxa"/>
          </w:tcPr>
          <w:p w14:paraId="4B4E622A" w14:textId="77777777" w:rsidR="008D5F16" w:rsidRPr="00B55DDC" w:rsidRDefault="008D5F16" w:rsidP="007C426A">
            <w:pPr>
              <w:pStyle w:val="Geenafstand"/>
            </w:pPr>
            <w:r>
              <w:t>b</w:t>
            </w:r>
          </w:p>
        </w:tc>
        <w:tc>
          <w:tcPr>
            <w:tcW w:w="6306" w:type="dxa"/>
          </w:tcPr>
          <w:p w14:paraId="1918C1DF" w14:textId="77777777" w:rsidR="008D5F16" w:rsidRPr="00EA7268" w:rsidRDefault="008D5F16" w:rsidP="007C426A">
            <w:pPr>
              <w:pStyle w:val="Geenafstand"/>
              <w:rPr>
                <w:lang w:val="en-US"/>
              </w:rPr>
            </w:pPr>
            <w:r w:rsidRPr="00EA7268">
              <w:rPr>
                <w:lang w:val="en-US"/>
              </w:rPr>
              <w:t>Person or entity responsible for the report</w:t>
            </w:r>
          </w:p>
        </w:tc>
        <w:tc>
          <w:tcPr>
            <w:tcW w:w="1842" w:type="dxa"/>
          </w:tcPr>
          <w:p w14:paraId="65D24EF8" w14:textId="77777777" w:rsidR="008D5F16" w:rsidRPr="00B55DDC" w:rsidRDefault="008D5F16" w:rsidP="007C426A">
            <w:pPr>
              <w:pStyle w:val="Geenafstand"/>
            </w:pPr>
            <w:r w:rsidRPr="00B55DDC">
              <w:t>3</w:t>
            </w:r>
          </w:p>
        </w:tc>
      </w:tr>
      <w:tr w:rsidR="008D5F16" w:rsidRPr="00B55DDC" w14:paraId="387EC767" w14:textId="77777777" w:rsidTr="007C426A">
        <w:tc>
          <w:tcPr>
            <w:tcW w:w="919" w:type="dxa"/>
          </w:tcPr>
          <w:p w14:paraId="50971697" w14:textId="77777777" w:rsidR="008D5F16" w:rsidRPr="00B55DDC" w:rsidRDefault="008D5F16" w:rsidP="007C426A">
            <w:pPr>
              <w:pStyle w:val="Geenafstand"/>
            </w:pPr>
            <w:r w:rsidRPr="00B55DDC">
              <w:t>c</w:t>
            </w:r>
          </w:p>
        </w:tc>
        <w:tc>
          <w:tcPr>
            <w:tcW w:w="6306" w:type="dxa"/>
          </w:tcPr>
          <w:p w14:paraId="4F4A81C3" w14:textId="77777777" w:rsidR="008D5F16" w:rsidRPr="00B55DDC" w:rsidRDefault="008D5F16" w:rsidP="007C426A">
            <w:pPr>
              <w:pStyle w:val="Geenafstand"/>
            </w:pPr>
            <w:r>
              <w:t xml:space="preserve">Reporting </w:t>
            </w:r>
            <w:proofErr w:type="spellStart"/>
            <w:r>
              <w:t>period</w:t>
            </w:r>
            <w:proofErr w:type="spellEnd"/>
            <w:r>
              <w:t xml:space="preserve"> </w:t>
            </w:r>
            <w:proofErr w:type="spellStart"/>
            <w:r>
              <w:t>covered</w:t>
            </w:r>
            <w:proofErr w:type="spellEnd"/>
          </w:p>
        </w:tc>
        <w:tc>
          <w:tcPr>
            <w:tcW w:w="1842" w:type="dxa"/>
          </w:tcPr>
          <w:p w14:paraId="7860E6AF" w14:textId="77777777" w:rsidR="008D5F16" w:rsidRPr="00B55DDC" w:rsidRDefault="008D5F16" w:rsidP="007C426A">
            <w:pPr>
              <w:pStyle w:val="Geenafstand"/>
            </w:pPr>
            <w:r w:rsidRPr="00B55DDC">
              <w:t>4</w:t>
            </w:r>
          </w:p>
        </w:tc>
      </w:tr>
      <w:tr w:rsidR="008D5F16" w:rsidRPr="00B55DDC" w14:paraId="2C10A477" w14:textId="77777777" w:rsidTr="007C426A">
        <w:tc>
          <w:tcPr>
            <w:tcW w:w="919" w:type="dxa"/>
          </w:tcPr>
          <w:p w14:paraId="72B48FC2" w14:textId="77777777" w:rsidR="008D5F16" w:rsidRPr="00B55DDC" w:rsidRDefault="008D5F16" w:rsidP="007C426A">
            <w:pPr>
              <w:pStyle w:val="Geenafstand"/>
            </w:pPr>
            <w:r w:rsidRPr="00B55DDC">
              <w:t>d</w:t>
            </w:r>
          </w:p>
        </w:tc>
        <w:tc>
          <w:tcPr>
            <w:tcW w:w="6306" w:type="dxa"/>
          </w:tcPr>
          <w:p w14:paraId="13FC0169" w14:textId="77777777" w:rsidR="008D5F16" w:rsidRPr="00B55DDC" w:rsidRDefault="008D5F16" w:rsidP="007C426A">
            <w:pPr>
              <w:pStyle w:val="Geenafstand"/>
            </w:pPr>
            <w:proofErr w:type="spellStart"/>
            <w:r>
              <w:t>Documentation</w:t>
            </w:r>
            <w:proofErr w:type="spellEnd"/>
            <w:r>
              <w:t xml:space="preserve"> of </w:t>
            </w:r>
            <w:proofErr w:type="spellStart"/>
            <w:r>
              <w:t>organizational</w:t>
            </w:r>
            <w:proofErr w:type="spellEnd"/>
            <w:r>
              <w:t xml:space="preserve"> </w:t>
            </w:r>
            <w:proofErr w:type="spellStart"/>
            <w:r>
              <w:t>boundaries</w:t>
            </w:r>
            <w:proofErr w:type="spellEnd"/>
          </w:p>
        </w:tc>
        <w:tc>
          <w:tcPr>
            <w:tcW w:w="1842" w:type="dxa"/>
          </w:tcPr>
          <w:p w14:paraId="45CEDD67" w14:textId="77777777" w:rsidR="008D5F16" w:rsidRPr="00B55DDC" w:rsidRDefault="008D5F16" w:rsidP="007C426A">
            <w:pPr>
              <w:pStyle w:val="Geenafstand"/>
            </w:pPr>
            <w:r>
              <w:t>5</w:t>
            </w:r>
          </w:p>
        </w:tc>
      </w:tr>
      <w:tr w:rsidR="008D5F16" w:rsidRPr="00B55DDC" w14:paraId="28A0B340" w14:textId="77777777" w:rsidTr="007C426A">
        <w:tc>
          <w:tcPr>
            <w:tcW w:w="919" w:type="dxa"/>
          </w:tcPr>
          <w:p w14:paraId="1582403A" w14:textId="77777777" w:rsidR="008D5F16" w:rsidRPr="00B55DDC" w:rsidRDefault="008D5F16" w:rsidP="007C426A">
            <w:pPr>
              <w:pStyle w:val="Geenafstand"/>
            </w:pPr>
            <w:r w:rsidRPr="00B55DDC">
              <w:t>e</w:t>
            </w:r>
          </w:p>
        </w:tc>
        <w:tc>
          <w:tcPr>
            <w:tcW w:w="6306" w:type="dxa"/>
          </w:tcPr>
          <w:p w14:paraId="40E6A020" w14:textId="77777777" w:rsidR="008D5F16" w:rsidRPr="00EA7268" w:rsidRDefault="008D5F16" w:rsidP="007C426A">
            <w:pPr>
              <w:pStyle w:val="Geenafstand"/>
              <w:rPr>
                <w:lang w:val="en-US"/>
              </w:rPr>
            </w:pPr>
            <w:r w:rsidRPr="00EA7268">
              <w:rPr>
                <w:lang w:val="en-US"/>
              </w:rPr>
              <w:t>Documentation of reporting boundaries, including criteria determined by the organization to define significant emissions</w:t>
            </w:r>
          </w:p>
        </w:tc>
        <w:tc>
          <w:tcPr>
            <w:tcW w:w="1842" w:type="dxa"/>
          </w:tcPr>
          <w:p w14:paraId="6A99C829" w14:textId="77777777" w:rsidR="008D5F16" w:rsidRPr="00B55DDC" w:rsidRDefault="008D5F16" w:rsidP="007C426A">
            <w:pPr>
              <w:pStyle w:val="Geenafstand"/>
            </w:pPr>
            <w:r>
              <w:t>5</w:t>
            </w:r>
          </w:p>
        </w:tc>
      </w:tr>
      <w:tr w:rsidR="008D5F16" w:rsidRPr="00B55DDC" w14:paraId="16FE90CF" w14:textId="77777777" w:rsidTr="007C426A">
        <w:tc>
          <w:tcPr>
            <w:tcW w:w="919" w:type="dxa"/>
          </w:tcPr>
          <w:p w14:paraId="3809565F" w14:textId="77777777" w:rsidR="008D5F16" w:rsidRPr="00B55DDC" w:rsidRDefault="008D5F16" w:rsidP="007C426A">
            <w:pPr>
              <w:pStyle w:val="Geenafstand"/>
            </w:pPr>
            <w:r w:rsidRPr="00B55DDC">
              <w:t>f</w:t>
            </w:r>
          </w:p>
        </w:tc>
        <w:tc>
          <w:tcPr>
            <w:tcW w:w="6306" w:type="dxa"/>
          </w:tcPr>
          <w:p w14:paraId="59435639" w14:textId="77777777" w:rsidR="008D5F16" w:rsidRPr="00EA7268" w:rsidRDefault="008D5F16" w:rsidP="007C426A">
            <w:pPr>
              <w:pStyle w:val="Geenafstand"/>
              <w:rPr>
                <w:lang w:val="en-US"/>
              </w:rPr>
            </w:pPr>
            <w:r w:rsidRPr="00EA7268">
              <w:rPr>
                <w:lang w:val="en-US"/>
              </w:rPr>
              <w:t xml:space="preserve">Direct GHG emissions, quantified separately for CO2, CH4, N2O, NF3, SF6 and other appropriate GHG groups (HFC’s, PFCs, etc.) in </w:t>
            </w:r>
            <w:proofErr w:type="spellStart"/>
            <w:r w:rsidRPr="00EA7268">
              <w:rPr>
                <w:lang w:val="en-US"/>
              </w:rPr>
              <w:t>tonnes</w:t>
            </w:r>
            <w:proofErr w:type="spellEnd"/>
            <w:r w:rsidRPr="00EA7268">
              <w:rPr>
                <w:lang w:val="en-US"/>
              </w:rPr>
              <w:t xml:space="preserve"> of CO2e</w:t>
            </w:r>
          </w:p>
        </w:tc>
        <w:tc>
          <w:tcPr>
            <w:tcW w:w="1842" w:type="dxa"/>
          </w:tcPr>
          <w:p w14:paraId="074FAF23" w14:textId="77777777" w:rsidR="008D5F16" w:rsidRPr="00B55DDC" w:rsidRDefault="008D5F16" w:rsidP="007C426A">
            <w:pPr>
              <w:pStyle w:val="Geenafstand"/>
            </w:pPr>
            <w:r>
              <w:t>6</w:t>
            </w:r>
          </w:p>
        </w:tc>
      </w:tr>
      <w:tr w:rsidR="008D5F16" w:rsidRPr="00B55DDC" w14:paraId="27B828E6" w14:textId="77777777" w:rsidTr="007C426A">
        <w:tc>
          <w:tcPr>
            <w:tcW w:w="919" w:type="dxa"/>
          </w:tcPr>
          <w:p w14:paraId="3F06066D" w14:textId="77777777" w:rsidR="008D5F16" w:rsidRPr="00B55DDC" w:rsidRDefault="008D5F16" w:rsidP="007C426A">
            <w:pPr>
              <w:pStyle w:val="Geenafstand"/>
            </w:pPr>
            <w:r>
              <w:t>g</w:t>
            </w:r>
          </w:p>
        </w:tc>
        <w:tc>
          <w:tcPr>
            <w:tcW w:w="6306" w:type="dxa"/>
          </w:tcPr>
          <w:p w14:paraId="65316A66" w14:textId="77777777" w:rsidR="008D5F16" w:rsidRPr="00EA7268" w:rsidRDefault="008D5F16" w:rsidP="007C426A">
            <w:pPr>
              <w:pStyle w:val="Geenafstand"/>
              <w:rPr>
                <w:lang w:val="en-US"/>
              </w:rPr>
            </w:pPr>
            <w:r w:rsidRPr="00EA7268">
              <w:rPr>
                <w:lang w:val="en-US"/>
              </w:rPr>
              <w:t xml:space="preserve">A description of how biogenic CO2 emissions and removals are treated in the GHG inventory and the relevant biogenic CO2 emissions and removals quantified separately in </w:t>
            </w:r>
            <w:proofErr w:type="spellStart"/>
            <w:r w:rsidRPr="00EA7268">
              <w:rPr>
                <w:lang w:val="en-US"/>
              </w:rPr>
              <w:t>tonnes</w:t>
            </w:r>
            <w:proofErr w:type="spellEnd"/>
            <w:r w:rsidRPr="00EA7268">
              <w:rPr>
                <w:lang w:val="en-US"/>
              </w:rPr>
              <w:t xml:space="preserve"> of CO2e</w:t>
            </w:r>
          </w:p>
        </w:tc>
        <w:tc>
          <w:tcPr>
            <w:tcW w:w="1842" w:type="dxa"/>
          </w:tcPr>
          <w:p w14:paraId="33CBACFD" w14:textId="77777777" w:rsidR="008D5F16" w:rsidRPr="00B55DDC" w:rsidRDefault="008D5F16" w:rsidP="007C426A">
            <w:pPr>
              <w:pStyle w:val="Geenafstand"/>
            </w:pPr>
            <w:r>
              <w:t>6</w:t>
            </w:r>
          </w:p>
        </w:tc>
      </w:tr>
      <w:tr w:rsidR="008D5F16" w:rsidRPr="00B55DDC" w14:paraId="21C602FB" w14:textId="77777777" w:rsidTr="007C426A">
        <w:tc>
          <w:tcPr>
            <w:tcW w:w="919" w:type="dxa"/>
          </w:tcPr>
          <w:p w14:paraId="5F05C1DD" w14:textId="77777777" w:rsidR="008D5F16" w:rsidRPr="00B55DDC" w:rsidRDefault="008D5F16" w:rsidP="007C426A">
            <w:pPr>
              <w:pStyle w:val="Geenafstand"/>
            </w:pPr>
            <w:r>
              <w:t>h</w:t>
            </w:r>
          </w:p>
        </w:tc>
        <w:tc>
          <w:tcPr>
            <w:tcW w:w="6306" w:type="dxa"/>
          </w:tcPr>
          <w:p w14:paraId="7AEB31F8" w14:textId="77777777" w:rsidR="008D5F16" w:rsidRPr="00EA7268" w:rsidRDefault="008D5F16" w:rsidP="007C426A">
            <w:pPr>
              <w:pStyle w:val="Geenafstand"/>
              <w:rPr>
                <w:lang w:val="en-US"/>
              </w:rPr>
            </w:pPr>
            <w:r w:rsidRPr="00EA7268">
              <w:rPr>
                <w:lang w:val="en-US"/>
              </w:rPr>
              <w:t xml:space="preserve">If quantified, direct GHG removals, in </w:t>
            </w:r>
            <w:proofErr w:type="spellStart"/>
            <w:r w:rsidRPr="00EA7268">
              <w:rPr>
                <w:lang w:val="en-US"/>
              </w:rPr>
              <w:t>tones of</w:t>
            </w:r>
            <w:proofErr w:type="spellEnd"/>
            <w:r w:rsidRPr="00EA7268">
              <w:rPr>
                <w:lang w:val="en-US"/>
              </w:rPr>
              <w:t xml:space="preserve"> CO2e</w:t>
            </w:r>
          </w:p>
        </w:tc>
        <w:tc>
          <w:tcPr>
            <w:tcW w:w="1842" w:type="dxa"/>
          </w:tcPr>
          <w:p w14:paraId="2BE8EC82" w14:textId="77777777" w:rsidR="008D5F16" w:rsidRPr="00B55DDC" w:rsidRDefault="008D5F16" w:rsidP="007C426A">
            <w:pPr>
              <w:pStyle w:val="Geenafstand"/>
            </w:pPr>
            <w:r>
              <w:t>6</w:t>
            </w:r>
          </w:p>
        </w:tc>
      </w:tr>
      <w:tr w:rsidR="008D5F16" w:rsidRPr="00B55DDC" w14:paraId="4867EB35" w14:textId="77777777" w:rsidTr="007C426A">
        <w:tc>
          <w:tcPr>
            <w:tcW w:w="919" w:type="dxa"/>
          </w:tcPr>
          <w:p w14:paraId="446D2329" w14:textId="77777777" w:rsidR="008D5F16" w:rsidRPr="00B55DDC" w:rsidRDefault="008D5F16" w:rsidP="007C426A">
            <w:pPr>
              <w:pStyle w:val="Geenafstand"/>
            </w:pPr>
            <w:r>
              <w:t>i</w:t>
            </w:r>
          </w:p>
        </w:tc>
        <w:tc>
          <w:tcPr>
            <w:tcW w:w="6306" w:type="dxa"/>
          </w:tcPr>
          <w:p w14:paraId="29EABCC7" w14:textId="77777777" w:rsidR="008D5F16" w:rsidRPr="00FF7BF1" w:rsidRDefault="008D5F16" w:rsidP="007C426A">
            <w:pPr>
              <w:pStyle w:val="Geenafstand"/>
              <w:rPr>
                <w:lang w:val="en-US"/>
              </w:rPr>
            </w:pPr>
            <w:r w:rsidRPr="00EA7268">
              <w:rPr>
                <w:lang w:val="en-US"/>
              </w:rPr>
              <w:t>Explanation of the exclusion of any significant GHG sources or sinks from the quantification</w:t>
            </w:r>
          </w:p>
        </w:tc>
        <w:tc>
          <w:tcPr>
            <w:tcW w:w="1842" w:type="dxa"/>
          </w:tcPr>
          <w:p w14:paraId="2D58F2D0" w14:textId="77777777" w:rsidR="008D5F16" w:rsidRPr="00B55DDC" w:rsidRDefault="008D5F16" w:rsidP="007C426A">
            <w:pPr>
              <w:pStyle w:val="Geenafstand"/>
            </w:pPr>
            <w:r>
              <w:t>6</w:t>
            </w:r>
          </w:p>
        </w:tc>
      </w:tr>
      <w:tr w:rsidR="008D5F16" w:rsidRPr="00B55DDC" w14:paraId="63B2161F" w14:textId="77777777" w:rsidTr="007C426A">
        <w:tc>
          <w:tcPr>
            <w:tcW w:w="919" w:type="dxa"/>
          </w:tcPr>
          <w:p w14:paraId="55B71B55" w14:textId="77777777" w:rsidR="008D5F16" w:rsidRPr="00B55DDC" w:rsidRDefault="008D5F16" w:rsidP="007C426A">
            <w:pPr>
              <w:pStyle w:val="Geenafstand"/>
            </w:pPr>
            <w:r>
              <w:t>j</w:t>
            </w:r>
          </w:p>
        </w:tc>
        <w:tc>
          <w:tcPr>
            <w:tcW w:w="6306" w:type="dxa"/>
          </w:tcPr>
          <w:p w14:paraId="6CA065DE" w14:textId="77777777" w:rsidR="008D5F16" w:rsidRPr="00EA7268" w:rsidRDefault="008D5F16" w:rsidP="007C426A">
            <w:pPr>
              <w:pStyle w:val="Geenafstand"/>
              <w:rPr>
                <w:lang w:val="en-US"/>
              </w:rPr>
            </w:pPr>
            <w:r w:rsidRPr="00EA7268">
              <w:rPr>
                <w:lang w:val="en-US"/>
              </w:rPr>
              <w:t xml:space="preserve">Quantified indirect GHG emissions separated by category in </w:t>
            </w:r>
            <w:proofErr w:type="spellStart"/>
            <w:r w:rsidRPr="00EA7268">
              <w:rPr>
                <w:lang w:val="en-US"/>
              </w:rPr>
              <w:t>tonnes</w:t>
            </w:r>
            <w:proofErr w:type="spellEnd"/>
            <w:r w:rsidRPr="00EA7268">
              <w:rPr>
                <w:lang w:val="en-US"/>
              </w:rPr>
              <w:t xml:space="preserve"> of CO2e</w:t>
            </w:r>
          </w:p>
        </w:tc>
        <w:tc>
          <w:tcPr>
            <w:tcW w:w="1842" w:type="dxa"/>
          </w:tcPr>
          <w:p w14:paraId="6070D541" w14:textId="77777777" w:rsidR="008D5F16" w:rsidRPr="00B55DDC" w:rsidRDefault="008D5F16" w:rsidP="007C426A">
            <w:pPr>
              <w:pStyle w:val="Geenafstand"/>
            </w:pPr>
            <w:r>
              <w:t>6</w:t>
            </w:r>
          </w:p>
        </w:tc>
      </w:tr>
      <w:tr w:rsidR="008D5F16" w:rsidRPr="00B55DDC" w14:paraId="08E3F787" w14:textId="77777777" w:rsidTr="007C426A">
        <w:tc>
          <w:tcPr>
            <w:tcW w:w="919" w:type="dxa"/>
          </w:tcPr>
          <w:p w14:paraId="4207989A" w14:textId="77777777" w:rsidR="008D5F16" w:rsidRPr="00B55DDC" w:rsidRDefault="008D5F16" w:rsidP="007C426A">
            <w:pPr>
              <w:pStyle w:val="Geenafstand"/>
            </w:pPr>
            <w:r>
              <w:t>k</w:t>
            </w:r>
          </w:p>
        </w:tc>
        <w:tc>
          <w:tcPr>
            <w:tcW w:w="6306" w:type="dxa"/>
          </w:tcPr>
          <w:p w14:paraId="387610A8" w14:textId="77777777" w:rsidR="008D5F16" w:rsidRPr="00EA7268" w:rsidRDefault="008D5F16" w:rsidP="007C426A">
            <w:pPr>
              <w:pStyle w:val="Geenafstand"/>
              <w:rPr>
                <w:lang w:val="en-US"/>
              </w:rPr>
            </w:pPr>
            <w:r w:rsidRPr="00EA7268">
              <w:rPr>
                <w:lang w:val="en-US"/>
              </w:rPr>
              <w:t>The historical base selected and the base-year GHG inventory</w:t>
            </w:r>
          </w:p>
        </w:tc>
        <w:tc>
          <w:tcPr>
            <w:tcW w:w="1842" w:type="dxa"/>
          </w:tcPr>
          <w:p w14:paraId="2469C62A" w14:textId="77777777" w:rsidR="008D5F16" w:rsidRPr="00B55DDC" w:rsidRDefault="008D5F16" w:rsidP="007C426A">
            <w:pPr>
              <w:pStyle w:val="Geenafstand"/>
            </w:pPr>
            <w:r>
              <w:t>4</w:t>
            </w:r>
          </w:p>
        </w:tc>
      </w:tr>
      <w:tr w:rsidR="008D5F16" w:rsidRPr="00B55DDC" w14:paraId="66A15D51" w14:textId="77777777" w:rsidTr="007C426A">
        <w:tc>
          <w:tcPr>
            <w:tcW w:w="919" w:type="dxa"/>
          </w:tcPr>
          <w:p w14:paraId="2C9BA759" w14:textId="77777777" w:rsidR="008D5F16" w:rsidRPr="00B55DDC" w:rsidRDefault="008D5F16" w:rsidP="007C426A">
            <w:pPr>
              <w:pStyle w:val="Geenafstand"/>
            </w:pPr>
            <w:r>
              <w:t>l</w:t>
            </w:r>
          </w:p>
        </w:tc>
        <w:tc>
          <w:tcPr>
            <w:tcW w:w="6306" w:type="dxa"/>
          </w:tcPr>
          <w:p w14:paraId="6A6FC8BD" w14:textId="77777777" w:rsidR="008D5F16" w:rsidRPr="00EA7268" w:rsidRDefault="008D5F16" w:rsidP="007C426A">
            <w:pPr>
              <w:pStyle w:val="Geenafstand"/>
              <w:rPr>
                <w:lang w:val="en-US"/>
              </w:rPr>
            </w:pPr>
            <w:r w:rsidRPr="00EA7268">
              <w:rPr>
                <w:lang w:val="en-US"/>
              </w:rPr>
              <w:t>Explanation of any change to the base year or other historical GHG data or categorization and any recalculation of the base year or other historical GHG inventory and documentation of any limitations to comparability resulting from such recalculation</w:t>
            </w:r>
          </w:p>
        </w:tc>
        <w:tc>
          <w:tcPr>
            <w:tcW w:w="1842" w:type="dxa"/>
          </w:tcPr>
          <w:p w14:paraId="5D74D878" w14:textId="77777777" w:rsidR="008D5F16" w:rsidRPr="00B55DDC" w:rsidRDefault="008D5F16" w:rsidP="007C426A">
            <w:pPr>
              <w:pStyle w:val="Geenafstand"/>
            </w:pPr>
            <w:r>
              <w:t>4</w:t>
            </w:r>
          </w:p>
        </w:tc>
      </w:tr>
      <w:tr w:rsidR="008D5F16" w:rsidRPr="00B55DDC" w14:paraId="1ABE898C" w14:textId="77777777" w:rsidTr="007C426A">
        <w:tc>
          <w:tcPr>
            <w:tcW w:w="919" w:type="dxa"/>
          </w:tcPr>
          <w:p w14:paraId="5785D194" w14:textId="77777777" w:rsidR="008D5F16" w:rsidRPr="00B55DDC" w:rsidRDefault="008D5F16" w:rsidP="007C426A">
            <w:pPr>
              <w:pStyle w:val="Geenafstand"/>
            </w:pPr>
            <w:r>
              <w:t>m</w:t>
            </w:r>
          </w:p>
        </w:tc>
        <w:tc>
          <w:tcPr>
            <w:tcW w:w="6306" w:type="dxa"/>
          </w:tcPr>
          <w:p w14:paraId="43C5FCD9" w14:textId="77777777" w:rsidR="008D5F16" w:rsidRPr="00EA7268" w:rsidRDefault="008D5F16" w:rsidP="007C426A">
            <w:pPr>
              <w:pStyle w:val="Geenafstand"/>
              <w:rPr>
                <w:lang w:val="en-US"/>
              </w:rPr>
            </w:pPr>
            <w:r w:rsidRPr="00EA7268">
              <w:rPr>
                <w:lang w:val="en-US"/>
              </w:rPr>
              <w:t>Reference to, or description of, quantification approaches, including reasons for their selection</w:t>
            </w:r>
          </w:p>
        </w:tc>
        <w:tc>
          <w:tcPr>
            <w:tcW w:w="1842" w:type="dxa"/>
          </w:tcPr>
          <w:p w14:paraId="1D81E1C2" w14:textId="77777777" w:rsidR="008D5F16" w:rsidRPr="00B55DDC" w:rsidRDefault="008D5F16" w:rsidP="007C426A">
            <w:pPr>
              <w:pStyle w:val="Geenafstand"/>
            </w:pPr>
            <w:r>
              <w:t>8</w:t>
            </w:r>
          </w:p>
        </w:tc>
      </w:tr>
      <w:tr w:rsidR="008D5F16" w:rsidRPr="00B55DDC" w14:paraId="1C576C60" w14:textId="77777777" w:rsidTr="007C426A">
        <w:tc>
          <w:tcPr>
            <w:tcW w:w="919" w:type="dxa"/>
          </w:tcPr>
          <w:p w14:paraId="1AAF90EF" w14:textId="77777777" w:rsidR="008D5F16" w:rsidRPr="00B55DDC" w:rsidRDefault="008D5F16" w:rsidP="007C426A">
            <w:pPr>
              <w:pStyle w:val="Geenafstand"/>
            </w:pPr>
            <w:r>
              <w:t>n</w:t>
            </w:r>
          </w:p>
        </w:tc>
        <w:tc>
          <w:tcPr>
            <w:tcW w:w="6306" w:type="dxa"/>
          </w:tcPr>
          <w:p w14:paraId="5C57E8D4" w14:textId="77777777" w:rsidR="008D5F16" w:rsidRPr="00EA7268" w:rsidRDefault="008D5F16" w:rsidP="007C426A">
            <w:pPr>
              <w:pStyle w:val="Geenafstand"/>
              <w:rPr>
                <w:lang w:val="en-US"/>
              </w:rPr>
            </w:pPr>
            <w:r w:rsidRPr="00EA7268">
              <w:rPr>
                <w:lang w:val="en-US"/>
              </w:rPr>
              <w:t>Explanation of any change to quantification approaches previously used</w:t>
            </w:r>
          </w:p>
        </w:tc>
        <w:tc>
          <w:tcPr>
            <w:tcW w:w="1842" w:type="dxa"/>
          </w:tcPr>
          <w:p w14:paraId="338BFC36" w14:textId="77777777" w:rsidR="008D5F16" w:rsidRPr="00B55DDC" w:rsidRDefault="008D5F16" w:rsidP="007C426A">
            <w:pPr>
              <w:pStyle w:val="Geenafstand"/>
            </w:pPr>
            <w:r>
              <w:t>8</w:t>
            </w:r>
          </w:p>
        </w:tc>
      </w:tr>
      <w:tr w:rsidR="008D5F16" w:rsidRPr="00B55DDC" w14:paraId="711BFE15" w14:textId="77777777" w:rsidTr="007C426A">
        <w:tc>
          <w:tcPr>
            <w:tcW w:w="919" w:type="dxa"/>
          </w:tcPr>
          <w:p w14:paraId="60E560A9" w14:textId="77777777" w:rsidR="008D5F16" w:rsidRPr="00B55DDC" w:rsidRDefault="008D5F16" w:rsidP="007C426A">
            <w:pPr>
              <w:pStyle w:val="Geenafstand"/>
            </w:pPr>
            <w:r>
              <w:t>o</w:t>
            </w:r>
          </w:p>
        </w:tc>
        <w:tc>
          <w:tcPr>
            <w:tcW w:w="6306" w:type="dxa"/>
          </w:tcPr>
          <w:p w14:paraId="5ABA1FAA" w14:textId="77777777" w:rsidR="008D5F16" w:rsidRPr="00FF7BF1" w:rsidRDefault="008D5F16" w:rsidP="007C426A">
            <w:pPr>
              <w:pStyle w:val="Geenafstand"/>
              <w:rPr>
                <w:lang w:val="en-US"/>
              </w:rPr>
            </w:pPr>
            <w:r w:rsidRPr="00EA7268">
              <w:rPr>
                <w:lang w:val="en-US"/>
              </w:rPr>
              <w:t>Reference to, or documentation of, GHG emission or removal factors used</w:t>
            </w:r>
          </w:p>
        </w:tc>
        <w:tc>
          <w:tcPr>
            <w:tcW w:w="1842" w:type="dxa"/>
          </w:tcPr>
          <w:p w14:paraId="315DA8A8" w14:textId="77777777" w:rsidR="008D5F16" w:rsidRPr="00B55DDC" w:rsidRDefault="008D5F16" w:rsidP="007C426A">
            <w:pPr>
              <w:pStyle w:val="Geenafstand"/>
            </w:pPr>
            <w:r>
              <w:t>8</w:t>
            </w:r>
          </w:p>
        </w:tc>
      </w:tr>
      <w:tr w:rsidR="008D5F16" w:rsidRPr="00B55DDC" w14:paraId="05688CE3" w14:textId="77777777" w:rsidTr="007C426A">
        <w:tc>
          <w:tcPr>
            <w:tcW w:w="919" w:type="dxa"/>
          </w:tcPr>
          <w:p w14:paraId="59EF6FA7" w14:textId="77777777" w:rsidR="008D5F16" w:rsidRPr="00B55DDC" w:rsidRDefault="008D5F16" w:rsidP="007C426A">
            <w:pPr>
              <w:pStyle w:val="Geenafstand"/>
            </w:pPr>
            <w:r>
              <w:t>p</w:t>
            </w:r>
          </w:p>
        </w:tc>
        <w:tc>
          <w:tcPr>
            <w:tcW w:w="6306" w:type="dxa"/>
          </w:tcPr>
          <w:p w14:paraId="519B359B" w14:textId="77777777" w:rsidR="008D5F16" w:rsidRPr="00EA7268" w:rsidRDefault="008D5F16" w:rsidP="007C426A">
            <w:pPr>
              <w:pStyle w:val="Geenafstand"/>
              <w:rPr>
                <w:lang w:val="en-US"/>
              </w:rPr>
            </w:pPr>
            <w:r w:rsidRPr="00EA7268">
              <w:rPr>
                <w:lang w:val="en-US"/>
              </w:rPr>
              <w:t>Description of the impact of uncertainties on the accuracy of the GHG emissions and removals data per category</w:t>
            </w:r>
          </w:p>
        </w:tc>
        <w:tc>
          <w:tcPr>
            <w:tcW w:w="1842" w:type="dxa"/>
          </w:tcPr>
          <w:p w14:paraId="4A645047" w14:textId="77777777" w:rsidR="008D5F16" w:rsidRPr="00B55DDC" w:rsidRDefault="008D5F16" w:rsidP="007C426A">
            <w:pPr>
              <w:pStyle w:val="Geenafstand"/>
            </w:pPr>
            <w:r w:rsidRPr="00B55DDC">
              <w:t>9</w:t>
            </w:r>
          </w:p>
        </w:tc>
      </w:tr>
      <w:tr w:rsidR="008D5F16" w:rsidRPr="00B55DDC" w14:paraId="0EA3B445" w14:textId="77777777" w:rsidTr="007C426A">
        <w:tc>
          <w:tcPr>
            <w:tcW w:w="919" w:type="dxa"/>
          </w:tcPr>
          <w:p w14:paraId="16F192D2" w14:textId="77777777" w:rsidR="008D5F16" w:rsidRDefault="008D5F16" w:rsidP="007C426A">
            <w:pPr>
              <w:pStyle w:val="Geenafstand"/>
            </w:pPr>
            <w:r>
              <w:t>q</w:t>
            </w:r>
          </w:p>
        </w:tc>
        <w:tc>
          <w:tcPr>
            <w:tcW w:w="6306" w:type="dxa"/>
          </w:tcPr>
          <w:p w14:paraId="4C9A3829" w14:textId="77777777" w:rsidR="008D5F16" w:rsidRPr="00EA7268" w:rsidRDefault="008D5F16" w:rsidP="007C426A">
            <w:pPr>
              <w:pStyle w:val="Geenafstand"/>
              <w:rPr>
                <w:lang w:val="en-US"/>
              </w:rPr>
            </w:pPr>
            <w:r w:rsidRPr="00EA7268">
              <w:rPr>
                <w:lang w:val="en-US"/>
              </w:rPr>
              <w:t>Uncertainty assessment description and results</w:t>
            </w:r>
          </w:p>
        </w:tc>
        <w:tc>
          <w:tcPr>
            <w:tcW w:w="1842" w:type="dxa"/>
          </w:tcPr>
          <w:p w14:paraId="53696DBC" w14:textId="77777777" w:rsidR="008D5F16" w:rsidRPr="00B55DDC" w:rsidRDefault="008D5F16" w:rsidP="007C426A">
            <w:pPr>
              <w:pStyle w:val="Geenafstand"/>
            </w:pPr>
            <w:r>
              <w:t>9</w:t>
            </w:r>
          </w:p>
        </w:tc>
      </w:tr>
      <w:tr w:rsidR="008D5F16" w:rsidRPr="00B55DDC" w14:paraId="73FD8D53" w14:textId="77777777" w:rsidTr="007C426A">
        <w:trPr>
          <w:trHeight w:val="77"/>
        </w:trPr>
        <w:tc>
          <w:tcPr>
            <w:tcW w:w="919" w:type="dxa"/>
          </w:tcPr>
          <w:p w14:paraId="39476EEB" w14:textId="77777777" w:rsidR="008D5F16" w:rsidRPr="00B55DDC" w:rsidRDefault="008D5F16" w:rsidP="007C426A">
            <w:pPr>
              <w:pStyle w:val="Geenafstand"/>
            </w:pPr>
            <w:r>
              <w:t>r</w:t>
            </w:r>
          </w:p>
        </w:tc>
        <w:tc>
          <w:tcPr>
            <w:tcW w:w="6306" w:type="dxa"/>
          </w:tcPr>
          <w:p w14:paraId="0476FB86" w14:textId="77777777" w:rsidR="008D5F16" w:rsidRPr="00FF7BF1" w:rsidRDefault="008D5F16" w:rsidP="007C426A">
            <w:pPr>
              <w:pStyle w:val="Geenafstand"/>
              <w:rPr>
                <w:lang w:val="en-US"/>
              </w:rPr>
            </w:pPr>
            <w:r w:rsidRPr="00EA7268">
              <w:rPr>
                <w:lang w:val="en-US"/>
              </w:rPr>
              <w:t>A statement that the GHG report has been prepared in accordance with ISO 14064-1:2018</w:t>
            </w:r>
          </w:p>
        </w:tc>
        <w:tc>
          <w:tcPr>
            <w:tcW w:w="1842" w:type="dxa"/>
          </w:tcPr>
          <w:p w14:paraId="639C0876" w14:textId="77777777" w:rsidR="008D5F16" w:rsidRPr="00B55DDC" w:rsidRDefault="008D5F16" w:rsidP="007C426A">
            <w:pPr>
              <w:pStyle w:val="Geenafstand"/>
            </w:pPr>
            <w:r w:rsidRPr="00B55DDC">
              <w:t>10</w:t>
            </w:r>
          </w:p>
        </w:tc>
      </w:tr>
      <w:tr w:rsidR="008D5F16" w:rsidRPr="00B55DDC" w14:paraId="17B7846D" w14:textId="77777777" w:rsidTr="007C426A">
        <w:trPr>
          <w:trHeight w:val="77"/>
        </w:trPr>
        <w:tc>
          <w:tcPr>
            <w:tcW w:w="919" w:type="dxa"/>
          </w:tcPr>
          <w:p w14:paraId="6123B006" w14:textId="77777777" w:rsidR="008D5F16" w:rsidRPr="00B55DDC" w:rsidRDefault="008D5F16" w:rsidP="007C426A">
            <w:pPr>
              <w:pStyle w:val="Geenafstand"/>
            </w:pPr>
            <w:r>
              <w:t>s</w:t>
            </w:r>
          </w:p>
        </w:tc>
        <w:tc>
          <w:tcPr>
            <w:tcW w:w="6306" w:type="dxa"/>
          </w:tcPr>
          <w:p w14:paraId="3124AE39" w14:textId="77777777" w:rsidR="008D5F16" w:rsidRPr="00EA7268" w:rsidRDefault="008D5F16" w:rsidP="007C426A">
            <w:pPr>
              <w:pStyle w:val="Geenafstand"/>
              <w:rPr>
                <w:lang w:val="en-US"/>
              </w:rPr>
            </w:pPr>
            <w:r w:rsidRPr="00EA7268">
              <w:rPr>
                <w:lang w:val="en-US"/>
              </w:rPr>
              <w:t>A disclosure describing whether the GHG inventory, report or statement has been verified, including the type of verification and the level of assurance achieved</w:t>
            </w:r>
          </w:p>
        </w:tc>
        <w:tc>
          <w:tcPr>
            <w:tcW w:w="1842" w:type="dxa"/>
          </w:tcPr>
          <w:p w14:paraId="673C8497" w14:textId="77777777" w:rsidR="008D5F16" w:rsidRPr="00B55DDC" w:rsidRDefault="008D5F16" w:rsidP="007C426A">
            <w:pPr>
              <w:pStyle w:val="Geenafstand"/>
            </w:pPr>
            <w:r>
              <w:t>6</w:t>
            </w:r>
          </w:p>
        </w:tc>
      </w:tr>
      <w:tr w:rsidR="008D5F16" w:rsidRPr="00B55DDC" w14:paraId="2C1624E6" w14:textId="77777777" w:rsidTr="007C426A">
        <w:trPr>
          <w:trHeight w:val="77"/>
        </w:trPr>
        <w:tc>
          <w:tcPr>
            <w:tcW w:w="919" w:type="dxa"/>
          </w:tcPr>
          <w:p w14:paraId="76600ED4" w14:textId="77777777" w:rsidR="008D5F16" w:rsidRDefault="008D5F16" w:rsidP="007C426A">
            <w:pPr>
              <w:pStyle w:val="Geenafstand"/>
            </w:pPr>
            <w:r>
              <w:t>t</w:t>
            </w:r>
          </w:p>
        </w:tc>
        <w:tc>
          <w:tcPr>
            <w:tcW w:w="6306" w:type="dxa"/>
          </w:tcPr>
          <w:p w14:paraId="5E25D4EC" w14:textId="77777777" w:rsidR="008D5F16" w:rsidRPr="00EA7268" w:rsidRDefault="008D5F16" w:rsidP="007C426A">
            <w:pPr>
              <w:pStyle w:val="Geenafstand"/>
              <w:rPr>
                <w:lang w:val="en-US"/>
              </w:rPr>
            </w:pPr>
            <w:r w:rsidRPr="00EA7268">
              <w:rPr>
                <w:lang w:val="en-US"/>
              </w:rPr>
              <w:t>The GWP values used in the calculation, as well as their source. If the GWP values are not taken from the latest IPCC report, include the emission factors or the database reference used in the calculation, as well as their source.</w:t>
            </w:r>
          </w:p>
        </w:tc>
        <w:tc>
          <w:tcPr>
            <w:tcW w:w="1842" w:type="dxa"/>
          </w:tcPr>
          <w:p w14:paraId="6C664FF4" w14:textId="77777777" w:rsidR="008D5F16" w:rsidRPr="00B55DDC" w:rsidRDefault="008D5F16" w:rsidP="007C426A">
            <w:pPr>
              <w:pStyle w:val="Geenafstand"/>
            </w:pPr>
            <w:r>
              <w:t>8</w:t>
            </w:r>
          </w:p>
        </w:tc>
      </w:tr>
    </w:tbl>
    <w:p w14:paraId="68925CB3" w14:textId="77777777" w:rsidR="008D5F16" w:rsidRDefault="008D5F16" w:rsidP="009F10A1">
      <w:pPr>
        <w:rPr>
          <w:rFonts w:ascii="Helvetica" w:hAnsi="Helvetica"/>
          <w:sz w:val="22"/>
          <w:szCs w:val="22"/>
        </w:rPr>
      </w:pPr>
    </w:p>
    <w:p w14:paraId="51FB345D" w14:textId="77777777" w:rsidR="009F10A1" w:rsidRPr="00310475" w:rsidRDefault="009F10A1" w:rsidP="009F10A1">
      <w:pPr>
        <w:pStyle w:val="Bijschrift"/>
        <w:rPr>
          <w:rFonts w:ascii="Helvetica" w:hAnsi="Helvetica"/>
          <w:lang w:val="en-US"/>
        </w:rPr>
      </w:pPr>
      <w:bookmarkStart w:id="63" w:name="_Ref256604062"/>
      <w:r w:rsidRPr="00310475">
        <w:rPr>
          <w:rFonts w:ascii="Helvetica" w:hAnsi="Helvetica"/>
          <w:lang w:val="en-US"/>
        </w:rPr>
        <w:t xml:space="preserve">Tabel </w:t>
      </w:r>
      <w:r w:rsidR="001C6D23">
        <w:rPr>
          <w:rFonts w:ascii="Helvetica" w:hAnsi="Helvetica"/>
          <w:lang w:val="en-US"/>
        </w:rPr>
        <w:t>2</w:t>
      </w:r>
      <w:bookmarkEnd w:id="63"/>
      <w:r w:rsidRPr="00310475">
        <w:rPr>
          <w:rFonts w:ascii="Helvetica" w:hAnsi="Helvetica"/>
          <w:lang w:val="en-US"/>
        </w:rPr>
        <w:t xml:space="preserve"> Cross reference ISO 14064-1</w:t>
      </w:r>
    </w:p>
    <w:p w14:paraId="2D14BEDC" w14:textId="77777777" w:rsidR="009F10A1" w:rsidRDefault="009F10A1" w:rsidP="009F10A1">
      <w:pPr>
        <w:rPr>
          <w:rFonts w:ascii="Helvetica" w:hAnsi="Helvetica"/>
          <w:lang w:val="en-US"/>
        </w:rPr>
      </w:pPr>
    </w:p>
    <w:p w14:paraId="0FEAC70E" w14:textId="77777777" w:rsidR="00692A35" w:rsidRPr="00310475" w:rsidRDefault="00692A35" w:rsidP="00692A35">
      <w:pPr>
        <w:pStyle w:val="afzendergegevens"/>
        <w:spacing w:line="240" w:lineRule="atLeast"/>
        <w:rPr>
          <w:rFonts w:ascii="Helvetica" w:hAnsi="Helvetica"/>
        </w:rPr>
      </w:pPr>
    </w:p>
    <w:p w14:paraId="3CE3225A" w14:textId="77777777" w:rsidR="00692A35" w:rsidRPr="00310475" w:rsidRDefault="00692A35" w:rsidP="00692A35">
      <w:pPr>
        <w:pStyle w:val="afzendergegevens"/>
        <w:spacing w:line="240" w:lineRule="atLeast"/>
        <w:rPr>
          <w:rFonts w:ascii="Helvetica" w:hAnsi="Helvetica"/>
        </w:rPr>
      </w:pPr>
    </w:p>
    <w:sectPr w:rsidR="00692A35" w:rsidRPr="00310475" w:rsidSect="000C473C">
      <w:headerReference w:type="default" r:id="rId14"/>
      <w:footerReference w:type="default" r:id="rId15"/>
      <w:headerReference w:type="first" r:id="rId16"/>
      <w:pgSz w:w="11907" w:h="16840" w:code="9"/>
      <w:pgMar w:top="2121" w:right="1417" w:bottom="2268" w:left="1418" w:header="68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E9040" w14:textId="77777777" w:rsidR="00F06131" w:rsidRDefault="00F06131" w:rsidP="00506E80">
      <w:pPr>
        <w:pStyle w:val="afzendergegevens"/>
      </w:pPr>
      <w:r>
        <w:separator/>
      </w:r>
    </w:p>
  </w:endnote>
  <w:endnote w:type="continuationSeparator" w:id="0">
    <w:p w14:paraId="057C2B1E" w14:textId="77777777" w:rsidR="00F06131" w:rsidRDefault="00F06131" w:rsidP="00506E80">
      <w:pPr>
        <w:pStyle w:val="afzendergegevens"/>
      </w:pPr>
      <w:r>
        <w:continuationSeparator/>
      </w:r>
    </w:p>
  </w:endnote>
  <w:endnote w:type="continuationNotice" w:id="1">
    <w:p w14:paraId="0F1F893D" w14:textId="77777777" w:rsidR="00F06131" w:rsidRDefault="00F061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1701" w14:textId="77777777" w:rsidR="00706E26" w:rsidRDefault="001070F5" w:rsidP="00A127C1">
    <w:pPr>
      <w:pStyle w:val="Voettekst"/>
    </w:pPr>
    <w:r>
      <w:tab/>
    </w:r>
    <w:r w:rsidR="00706E26">
      <w:rPr>
        <w:rStyle w:val="Paginanummer"/>
      </w:rPr>
      <w:tab/>
    </w:r>
    <w:r w:rsidR="00706E26">
      <w:rPr>
        <w:rStyle w:val="Paginanummer"/>
      </w:rPr>
      <w:tab/>
    </w:r>
    <w:r>
      <w:rPr>
        <w:rStyle w:val="Paginanummer"/>
      </w:rPr>
      <w:tab/>
    </w:r>
    <w:r w:rsidR="00706E26" w:rsidRPr="00A127C1">
      <w:rPr>
        <w:rStyle w:val="Paginanummer"/>
      </w:rPr>
      <w:fldChar w:fldCharType="begin"/>
    </w:r>
    <w:r w:rsidR="00706E26" w:rsidRPr="00A127C1">
      <w:rPr>
        <w:rStyle w:val="Paginanummer"/>
      </w:rPr>
      <w:instrText xml:space="preserve"> PAGE </w:instrText>
    </w:r>
    <w:r w:rsidR="00706E26" w:rsidRPr="00A127C1">
      <w:rPr>
        <w:rStyle w:val="Paginanummer"/>
      </w:rPr>
      <w:fldChar w:fldCharType="separate"/>
    </w:r>
    <w:r w:rsidR="00CC2CDE">
      <w:rPr>
        <w:rStyle w:val="Paginanummer"/>
        <w:noProof/>
      </w:rPr>
      <w:t>1</w:t>
    </w:r>
    <w:r w:rsidR="00706E26" w:rsidRPr="00A127C1">
      <w:rPr>
        <w:rStyle w:val="Paginanummer"/>
      </w:rPr>
      <w:fldChar w:fldCharType="end"/>
    </w:r>
    <w:r w:rsidR="00706E26" w:rsidRPr="00A127C1">
      <w:rPr>
        <w:rStyle w:val="Paginanummer"/>
      </w:rPr>
      <w:t>/</w:t>
    </w:r>
    <w:r w:rsidR="00706E26" w:rsidRPr="00A127C1">
      <w:rPr>
        <w:rStyle w:val="Paginanummer"/>
      </w:rPr>
      <w:fldChar w:fldCharType="begin"/>
    </w:r>
    <w:r w:rsidR="00706E26" w:rsidRPr="00A127C1">
      <w:rPr>
        <w:rStyle w:val="Paginanummer"/>
      </w:rPr>
      <w:instrText xml:space="preserve"> NUMPAGES </w:instrText>
    </w:r>
    <w:r w:rsidR="00706E26" w:rsidRPr="00A127C1">
      <w:rPr>
        <w:rStyle w:val="Paginanummer"/>
      </w:rPr>
      <w:fldChar w:fldCharType="separate"/>
    </w:r>
    <w:r w:rsidR="00CC2CDE">
      <w:rPr>
        <w:rStyle w:val="Paginanummer"/>
        <w:noProof/>
      </w:rPr>
      <w:t>8</w:t>
    </w:r>
    <w:r w:rsidR="00706E26" w:rsidRPr="00A127C1">
      <w:rPr>
        <w:rStyle w:val="Paginanummer"/>
      </w:rPr>
      <w:fldChar w:fldCharType="end"/>
    </w:r>
  </w:p>
  <w:p w14:paraId="08495776" w14:textId="77777777" w:rsidR="00706E26" w:rsidRDefault="00706E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EF295" w14:textId="77777777" w:rsidR="00F06131" w:rsidRDefault="00F06131" w:rsidP="00506E80">
      <w:pPr>
        <w:pStyle w:val="afzendergegevens"/>
      </w:pPr>
      <w:r>
        <w:separator/>
      </w:r>
    </w:p>
  </w:footnote>
  <w:footnote w:type="continuationSeparator" w:id="0">
    <w:p w14:paraId="68FDCCFE" w14:textId="77777777" w:rsidR="00F06131" w:rsidRDefault="00F06131" w:rsidP="00506E80">
      <w:pPr>
        <w:pStyle w:val="afzendergegevens"/>
      </w:pPr>
      <w:r>
        <w:continuationSeparator/>
      </w:r>
    </w:p>
  </w:footnote>
  <w:footnote w:type="continuationNotice" w:id="1">
    <w:p w14:paraId="0FD9A4F1" w14:textId="77777777" w:rsidR="00F06131" w:rsidRDefault="00F061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61A9B" w14:textId="77777777" w:rsidR="001070F5" w:rsidRPr="001070F5" w:rsidRDefault="001070F5" w:rsidP="001070F5">
    <w:pPr>
      <w:tabs>
        <w:tab w:val="center" w:pos="4536"/>
        <w:tab w:val="right" w:pos="9072"/>
      </w:tabs>
      <w:jc w:val="right"/>
      <w:rPr>
        <w:rFonts w:ascii="Arial" w:hAnsi="Arial"/>
        <w:color w:val="000000"/>
      </w:rPr>
    </w:pPr>
    <w:r w:rsidRPr="001070F5">
      <w:rPr>
        <w:rFonts w:ascii="Arial" w:hAnsi="Arial"/>
        <w:color w:val="000000"/>
      </w:rPr>
      <w:t xml:space="preserve">Document </w:t>
    </w:r>
    <w:r w:rsidR="00F41CE9">
      <w:rPr>
        <w:rFonts w:ascii="Arial" w:hAnsi="Arial"/>
        <w:color w:val="000000"/>
      </w:rPr>
      <w:t>3</w:t>
    </w:r>
    <w:r w:rsidRPr="001070F5">
      <w:rPr>
        <w:rFonts w:ascii="Arial" w:hAnsi="Arial"/>
        <w:color w:val="000000"/>
      </w:rPr>
      <w:t>.A.</w:t>
    </w:r>
    <w:r w:rsidR="00F41CE9">
      <w:rPr>
        <w:rFonts w:ascii="Arial" w:hAnsi="Arial"/>
        <w:color w:val="000000"/>
      </w:rPr>
      <w:t>1</w:t>
    </w:r>
    <w:r w:rsidRPr="001070F5">
      <w:rPr>
        <w:rFonts w:ascii="Arial" w:hAnsi="Arial"/>
        <w:color w:val="000000"/>
      </w:rPr>
      <w:t>-</w:t>
    </w:r>
    <w:r w:rsidR="00F41CE9">
      <w:rPr>
        <w:rFonts w:ascii="Arial" w:hAnsi="Arial"/>
        <w:color w:val="000000"/>
      </w:rPr>
      <w:t>2</w:t>
    </w:r>
  </w:p>
  <w:p w14:paraId="2A9762C8" w14:textId="4439E164" w:rsidR="001070F5" w:rsidRPr="001070F5" w:rsidRDefault="001070F5" w:rsidP="001070F5">
    <w:pPr>
      <w:tabs>
        <w:tab w:val="center" w:pos="4536"/>
        <w:tab w:val="right" w:pos="9072"/>
      </w:tabs>
      <w:jc w:val="right"/>
      <w:rPr>
        <w:rFonts w:ascii="Arial" w:hAnsi="Arial"/>
        <w:color w:val="000000"/>
      </w:rPr>
    </w:pPr>
    <w:r w:rsidRPr="001070F5">
      <w:rPr>
        <w:rFonts w:ascii="Arial" w:hAnsi="Arial"/>
        <w:caps/>
        <w:color w:val="000000"/>
      </w:rPr>
      <w:tab/>
    </w:r>
    <w:r w:rsidR="00A7480C">
      <w:rPr>
        <w:rFonts w:ascii="Arial" w:hAnsi="Arial"/>
        <w:color w:val="000000"/>
      </w:rPr>
      <w:t>Versie 2</w:t>
    </w:r>
    <w:r w:rsidR="00A767EC">
      <w:rPr>
        <w:rFonts w:ascii="Arial" w:hAnsi="Arial"/>
        <w:color w:val="000000"/>
      </w:rPr>
      <w:t>3</w:t>
    </w:r>
    <w:r w:rsidRPr="001070F5">
      <w:rPr>
        <w:rFonts w:ascii="Arial" w:hAnsi="Arial"/>
        <w:color w:val="000000"/>
      </w:rPr>
      <w:t>.1</w:t>
    </w:r>
  </w:p>
  <w:p w14:paraId="0CB56E86" w14:textId="77777777" w:rsidR="001070F5" w:rsidRPr="001070F5" w:rsidRDefault="001070F5" w:rsidP="001070F5">
    <w:pPr>
      <w:tabs>
        <w:tab w:val="center" w:pos="4536"/>
        <w:tab w:val="right" w:pos="9072"/>
      </w:tabs>
      <w:jc w:val="right"/>
      <w:rPr>
        <w:rFonts w:ascii="Arial" w:hAnsi="Arial"/>
        <w:color w:val="000000"/>
      </w:rPr>
    </w:pPr>
    <w:r w:rsidRPr="001070F5">
      <w:rPr>
        <w:rFonts w:ascii="Arial" w:hAnsi="Arial"/>
        <w:color w:val="000000"/>
      </w:rPr>
      <w:tab/>
    </w:r>
    <w:r w:rsidRPr="001070F5">
      <w:rPr>
        <w:rFonts w:ascii="Arial" w:hAnsi="Arial"/>
        <w:color w:val="000000"/>
      </w:rPr>
      <w:tab/>
      <w:t>Auteur Jeroen van Diepen</w:t>
    </w:r>
  </w:p>
  <w:p w14:paraId="275DB252" w14:textId="2AEF72F0" w:rsidR="001070F5" w:rsidRPr="001070F5" w:rsidRDefault="001070F5" w:rsidP="001070F5">
    <w:pPr>
      <w:tabs>
        <w:tab w:val="center" w:pos="4536"/>
        <w:tab w:val="right" w:pos="9072"/>
      </w:tabs>
      <w:spacing w:line="240" w:lineRule="auto"/>
      <w:rPr>
        <w:rFonts w:ascii="Arial" w:eastAsia="Calibri" w:hAnsi="Arial"/>
        <w:color w:val="000000"/>
        <w:lang w:eastAsia="en-US"/>
      </w:rPr>
    </w:pPr>
    <w:r w:rsidRPr="001070F5">
      <w:rPr>
        <w:rFonts w:ascii="Arial" w:hAnsi="Arial"/>
        <w:color w:val="000000"/>
      </w:rPr>
      <w:tab/>
    </w:r>
    <w:r w:rsidRPr="001070F5">
      <w:rPr>
        <w:rFonts w:ascii="Arial" w:hAnsi="Arial"/>
        <w:color w:val="000000"/>
      </w:rPr>
      <w:tab/>
      <w:t xml:space="preserve">Datum </w:t>
    </w:r>
    <w:r w:rsidR="00A767EC">
      <w:rPr>
        <w:rFonts w:ascii="Arial" w:hAnsi="Arial"/>
        <w:color w:val="000000"/>
      </w:rPr>
      <w:t>17</w:t>
    </w:r>
    <w:r w:rsidR="002423E4">
      <w:rPr>
        <w:rFonts w:ascii="Arial" w:hAnsi="Arial"/>
        <w:color w:val="000000"/>
      </w:rPr>
      <w:t>-0</w:t>
    </w:r>
    <w:r w:rsidR="005E7C51">
      <w:rPr>
        <w:rFonts w:ascii="Arial" w:hAnsi="Arial"/>
        <w:color w:val="000000"/>
      </w:rPr>
      <w:t>1</w:t>
    </w:r>
    <w:r w:rsidR="002423E4">
      <w:rPr>
        <w:rFonts w:ascii="Arial" w:hAnsi="Arial"/>
        <w:color w:val="000000"/>
      </w:rPr>
      <w:t>-20</w:t>
    </w:r>
    <w:r w:rsidR="00402816">
      <w:rPr>
        <w:rFonts w:ascii="Arial" w:hAnsi="Arial"/>
        <w:color w:val="000000"/>
      </w:rPr>
      <w:t>2</w:t>
    </w:r>
    <w:r w:rsidR="00A767EC">
      <w:rPr>
        <w:rFonts w:ascii="Arial" w:hAnsi="Arial"/>
        <w:color w:val="000000"/>
      </w:rPr>
      <w:t>4</w:t>
    </w:r>
  </w:p>
  <w:p w14:paraId="508EAAA3" w14:textId="77777777" w:rsidR="001070F5" w:rsidRPr="001070F5" w:rsidRDefault="001070F5" w:rsidP="001070F5">
    <w:pPr>
      <w:tabs>
        <w:tab w:val="left" w:pos="7920"/>
      </w:tabs>
      <w:rPr>
        <w:rFonts w:cs="Georgia"/>
      </w:rPr>
    </w:pPr>
  </w:p>
  <w:p w14:paraId="0C35078F" w14:textId="77777777" w:rsidR="00706E26" w:rsidRDefault="00706E26" w:rsidP="00B0259D">
    <w:pPr>
      <w:tabs>
        <w:tab w:val="left" w:pos="7920"/>
      </w:tabs>
    </w:pPr>
  </w:p>
  <w:tbl>
    <w:tblPr>
      <w:tblW w:w="0" w:type="auto"/>
      <w:tblInd w:w="-1440" w:type="dxa"/>
      <w:tblLook w:val="01E0" w:firstRow="1" w:lastRow="1" w:firstColumn="1" w:lastColumn="1" w:noHBand="0" w:noVBand="0"/>
    </w:tblPr>
    <w:tblGrid>
      <w:gridCol w:w="1548"/>
      <w:gridCol w:w="4804"/>
    </w:tblGrid>
    <w:tr w:rsidR="00706E26" w14:paraId="5EDD14D1" w14:textId="77777777" w:rsidTr="00A127C1">
      <w:tc>
        <w:tcPr>
          <w:tcW w:w="1548" w:type="dxa"/>
        </w:tcPr>
        <w:p w14:paraId="696FB258" w14:textId="77777777" w:rsidR="00706E26" w:rsidRDefault="00706E26" w:rsidP="00A127C1">
          <w:pPr>
            <w:pStyle w:val="rapportreferentie"/>
            <w:jc w:val="right"/>
          </w:pPr>
        </w:p>
      </w:tc>
      <w:tc>
        <w:tcPr>
          <w:tcW w:w="4804" w:type="dxa"/>
        </w:tcPr>
        <w:p w14:paraId="7D19B90D" w14:textId="77777777" w:rsidR="00706E26" w:rsidRPr="00A127C1" w:rsidRDefault="00706E26" w:rsidP="00AF5108">
          <w:pPr>
            <w:pStyle w:val="rapportreferentie"/>
          </w:pPr>
        </w:p>
      </w:tc>
    </w:tr>
    <w:tr w:rsidR="00706E26" w14:paraId="33034786" w14:textId="77777777" w:rsidTr="00A127C1">
      <w:tc>
        <w:tcPr>
          <w:tcW w:w="1548" w:type="dxa"/>
        </w:tcPr>
        <w:p w14:paraId="627481BF" w14:textId="77777777" w:rsidR="00706E26" w:rsidRDefault="00706E26"/>
      </w:tc>
      <w:tc>
        <w:tcPr>
          <w:tcW w:w="4804" w:type="dxa"/>
        </w:tcPr>
        <w:p w14:paraId="2AA264D7" w14:textId="77777777" w:rsidR="00706E26" w:rsidRDefault="00706E26" w:rsidP="00A127C1">
          <w:pPr>
            <w:pStyle w:val="afzendergegevens"/>
            <w:ind w:firstLine="0"/>
          </w:pPr>
        </w:p>
      </w:tc>
    </w:tr>
  </w:tbl>
  <w:p w14:paraId="1FDBBB18" w14:textId="77777777" w:rsidR="00706E26" w:rsidRDefault="00706E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DE2C" w14:textId="77777777" w:rsidR="00706E26" w:rsidRDefault="00706E26">
    <w:pPr>
      <w:pStyle w:val="Koptekst"/>
    </w:pPr>
  </w:p>
  <w:p w14:paraId="45D0F97B" w14:textId="77777777" w:rsidR="00706E26" w:rsidRDefault="00706E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338"/>
    <w:multiLevelType w:val="multilevel"/>
    <w:tmpl w:val="5AB09884"/>
    <w:lvl w:ilvl="0">
      <w:start w:val="1"/>
      <w:numFmt w:val="decimal"/>
      <w:lvlText w:val="%1"/>
      <w:lvlJc w:val="left"/>
      <w:pPr>
        <w:tabs>
          <w:tab w:val="num" w:pos="567"/>
        </w:tabs>
        <w:ind w:left="720" w:hanging="72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2160"/>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1" w15:restartNumberingAfterBreak="0">
    <w:nsid w:val="010A0AA9"/>
    <w:multiLevelType w:val="multilevel"/>
    <w:tmpl w:val="AA562B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2160"/>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2" w15:restartNumberingAfterBreak="0">
    <w:nsid w:val="02622961"/>
    <w:multiLevelType w:val="multilevel"/>
    <w:tmpl w:val="87E00F38"/>
    <w:lvl w:ilvl="0">
      <w:start w:val="1"/>
      <w:numFmt w:val="decimal"/>
      <w:lvlText w:val="%1"/>
      <w:lvlJc w:val="left"/>
      <w:pPr>
        <w:tabs>
          <w:tab w:val="num" w:pos="340"/>
        </w:tabs>
        <w:ind w:left="720" w:hanging="72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284"/>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3" w15:restartNumberingAfterBreak="0">
    <w:nsid w:val="05622DDF"/>
    <w:multiLevelType w:val="multilevel"/>
    <w:tmpl w:val="10C811F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4" w15:restartNumberingAfterBreak="0">
    <w:nsid w:val="069368AF"/>
    <w:multiLevelType w:val="multilevel"/>
    <w:tmpl w:val="66DC921A"/>
    <w:lvl w:ilvl="0">
      <w:start w:val="1"/>
      <w:numFmt w:val="decimal"/>
      <w:lvlText w:val="%1"/>
      <w:lvlJc w:val="left"/>
      <w:pPr>
        <w:tabs>
          <w:tab w:val="num" w:pos="284"/>
        </w:tabs>
        <w:ind w:left="720" w:hanging="72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5" w15:restartNumberingAfterBreak="0">
    <w:nsid w:val="0A6B5322"/>
    <w:multiLevelType w:val="hybridMultilevel"/>
    <w:tmpl w:val="118EC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22515"/>
    <w:multiLevelType w:val="hybridMultilevel"/>
    <w:tmpl w:val="95461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984A49"/>
    <w:multiLevelType w:val="hybridMultilevel"/>
    <w:tmpl w:val="288A98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35B5C"/>
    <w:multiLevelType w:val="hybridMultilevel"/>
    <w:tmpl w:val="3230AE2E"/>
    <w:lvl w:ilvl="0" w:tplc="6B6EFC22">
      <w:start w:val="2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C2F1C"/>
    <w:multiLevelType w:val="multilevel"/>
    <w:tmpl w:val="9C4CA8CA"/>
    <w:lvl w:ilvl="0">
      <w:start w:val="1"/>
      <w:numFmt w:val="decimal"/>
      <w:pStyle w:val="Kop1"/>
      <w:lvlText w:val="%1"/>
      <w:lvlJc w:val="left"/>
      <w:pPr>
        <w:tabs>
          <w:tab w:val="num" w:pos="340"/>
        </w:tabs>
        <w:ind w:left="720" w:hanging="720"/>
      </w:pPr>
      <w:rPr>
        <w:rFonts w:hint="default"/>
      </w:rPr>
    </w:lvl>
    <w:lvl w:ilvl="1">
      <w:start w:val="1"/>
      <w:numFmt w:val="decimal"/>
      <w:pStyle w:val="Kop2"/>
      <w:lvlText w:val="%1.%2."/>
      <w:lvlJc w:val="left"/>
      <w:pPr>
        <w:tabs>
          <w:tab w:val="num" w:pos="340"/>
        </w:tabs>
        <w:ind w:left="0" w:firstLine="0"/>
      </w:pPr>
      <w:rPr>
        <w:rFonts w:hint="default"/>
      </w:rPr>
    </w:lvl>
    <w:lvl w:ilvl="2">
      <w:start w:val="1"/>
      <w:numFmt w:val="decimal"/>
      <w:pStyle w:val="Kop3"/>
      <w:lvlText w:val="%1.%2.%3."/>
      <w:lvlJc w:val="left"/>
      <w:pPr>
        <w:tabs>
          <w:tab w:val="num" w:pos="340"/>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10" w15:restartNumberingAfterBreak="0">
    <w:nsid w:val="17943C83"/>
    <w:multiLevelType w:val="hybridMultilevel"/>
    <w:tmpl w:val="B3AE942C"/>
    <w:lvl w:ilvl="0" w:tplc="F7EA97D6">
      <w:start w:val="1"/>
      <w:numFmt w:val="bullet"/>
      <w:pStyle w:val="Bulleted"/>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87E5730"/>
    <w:multiLevelType w:val="hybridMultilevel"/>
    <w:tmpl w:val="76DAEAB2"/>
    <w:lvl w:ilvl="0" w:tplc="C3AAD2D2">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2" w15:restartNumberingAfterBreak="0">
    <w:nsid w:val="1C93713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00515F5"/>
    <w:multiLevelType w:val="multilevel"/>
    <w:tmpl w:val="132CEFB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0" w:firstLine="720"/>
      </w:pPr>
      <w:rPr>
        <w:rFonts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14" w15:restartNumberingAfterBreak="0">
    <w:nsid w:val="20EC2CFA"/>
    <w:multiLevelType w:val="hybridMultilevel"/>
    <w:tmpl w:val="3D44BFC6"/>
    <w:lvl w:ilvl="0" w:tplc="0413000F">
      <w:start w:val="1"/>
      <w:numFmt w:val="decimal"/>
      <w:lvlText w:val="%1."/>
      <w:lvlJc w:val="left"/>
      <w:pPr>
        <w:tabs>
          <w:tab w:val="num" w:pos="765"/>
        </w:tabs>
        <w:ind w:left="765" w:hanging="360"/>
      </w:pPr>
    </w:lvl>
    <w:lvl w:ilvl="1" w:tplc="04130019" w:tentative="1">
      <w:start w:val="1"/>
      <w:numFmt w:val="lowerLetter"/>
      <w:lvlText w:val="%2."/>
      <w:lvlJc w:val="left"/>
      <w:pPr>
        <w:tabs>
          <w:tab w:val="num" w:pos="1485"/>
        </w:tabs>
        <w:ind w:left="1485" w:hanging="360"/>
      </w:pPr>
    </w:lvl>
    <w:lvl w:ilvl="2" w:tplc="0413001B" w:tentative="1">
      <w:start w:val="1"/>
      <w:numFmt w:val="lowerRoman"/>
      <w:lvlText w:val="%3."/>
      <w:lvlJc w:val="right"/>
      <w:pPr>
        <w:tabs>
          <w:tab w:val="num" w:pos="2205"/>
        </w:tabs>
        <w:ind w:left="2205" w:hanging="180"/>
      </w:pPr>
    </w:lvl>
    <w:lvl w:ilvl="3" w:tplc="0413000F" w:tentative="1">
      <w:start w:val="1"/>
      <w:numFmt w:val="decimal"/>
      <w:lvlText w:val="%4."/>
      <w:lvlJc w:val="left"/>
      <w:pPr>
        <w:tabs>
          <w:tab w:val="num" w:pos="2925"/>
        </w:tabs>
        <w:ind w:left="2925" w:hanging="360"/>
      </w:pPr>
    </w:lvl>
    <w:lvl w:ilvl="4" w:tplc="04130019" w:tentative="1">
      <w:start w:val="1"/>
      <w:numFmt w:val="lowerLetter"/>
      <w:lvlText w:val="%5."/>
      <w:lvlJc w:val="left"/>
      <w:pPr>
        <w:tabs>
          <w:tab w:val="num" w:pos="3645"/>
        </w:tabs>
        <w:ind w:left="3645" w:hanging="360"/>
      </w:pPr>
    </w:lvl>
    <w:lvl w:ilvl="5" w:tplc="0413001B" w:tentative="1">
      <w:start w:val="1"/>
      <w:numFmt w:val="lowerRoman"/>
      <w:lvlText w:val="%6."/>
      <w:lvlJc w:val="right"/>
      <w:pPr>
        <w:tabs>
          <w:tab w:val="num" w:pos="4365"/>
        </w:tabs>
        <w:ind w:left="4365" w:hanging="180"/>
      </w:pPr>
    </w:lvl>
    <w:lvl w:ilvl="6" w:tplc="0413000F" w:tentative="1">
      <w:start w:val="1"/>
      <w:numFmt w:val="decimal"/>
      <w:lvlText w:val="%7."/>
      <w:lvlJc w:val="left"/>
      <w:pPr>
        <w:tabs>
          <w:tab w:val="num" w:pos="5085"/>
        </w:tabs>
        <w:ind w:left="5085" w:hanging="360"/>
      </w:pPr>
    </w:lvl>
    <w:lvl w:ilvl="7" w:tplc="04130019" w:tentative="1">
      <w:start w:val="1"/>
      <w:numFmt w:val="lowerLetter"/>
      <w:lvlText w:val="%8."/>
      <w:lvlJc w:val="left"/>
      <w:pPr>
        <w:tabs>
          <w:tab w:val="num" w:pos="5805"/>
        </w:tabs>
        <w:ind w:left="5805" w:hanging="360"/>
      </w:pPr>
    </w:lvl>
    <w:lvl w:ilvl="8" w:tplc="0413001B" w:tentative="1">
      <w:start w:val="1"/>
      <w:numFmt w:val="lowerRoman"/>
      <w:lvlText w:val="%9."/>
      <w:lvlJc w:val="right"/>
      <w:pPr>
        <w:tabs>
          <w:tab w:val="num" w:pos="6525"/>
        </w:tabs>
        <w:ind w:left="6525" w:hanging="180"/>
      </w:pPr>
    </w:lvl>
  </w:abstractNum>
  <w:abstractNum w:abstractNumId="15" w15:restartNumberingAfterBreak="0">
    <w:nsid w:val="21667AC9"/>
    <w:multiLevelType w:val="hybridMultilevel"/>
    <w:tmpl w:val="8B2EE3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7227CA"/>
    <w:multiLevelType w:val="multilevel"/>
    <w:tmpl w:val="0E9CF6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9F5A1F"/>
    <w:multiLevelType w:val="hybridMultilevel"/>
    <w:tmpl w:val="1AD0DE48"/>
    <w:lvl w:ilvl="0" w:tplc="2808291A">
      <w:start w:val="4"/>
      <w:numFmt w:val="bullet"/>
      <w:lvlText w:val="-"/>
      <w:lvlJc w:val="left"/>
      <w:pPr>
        <w:tabs>
          <w:tab w:val="num" w:pos="720"/>
        </w:tabs>
        <w:ind w:left="720" w:hanging="360"/>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3C03FF"/>
    <w:multiLevelType w:val="hybridMultilevel"/>
    <w:tmpl w:val="198A49D6"/>
    <w:lvl w:ilvl="0" w:tplc="230CDD1C">
      <w:start w:val="1"/>
      <w:numFmt w:val="bullet"/>
      <w:lvlText w:val="-"/>
      <w:lvlJc w:val="left"/>
      <w:pPr>
        <w:tabs>
          <w:tab w:val="num" w:pos="720"/>
        </w:tabs>
        <w:ind w:left="720" w:hanging="360"/>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B7225"/>
    <w:multiLevelType w:val="hybridMultilevel"/>
    <w:tmpl w:val="6BDC720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8F0E58"/>
    <w:multiLevelType w:val="multilevel"/>
    <w:tmpl w:val="4680034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21" w15:restartNumberingAfterBreak="0">
    <w:nsid w:val="4A3B0A6E"/>
    <w:multiLevelType w:val="multilevel"/>
    <w:tmpl w:val="59B8672C"/>
    <w:lvl w:ilvl="0">
      <w:start w:val="1"/>
      <w:numFmt w:val="decimal"/>
      <w:lvlText w:val="%1"/>
      <w:lvlJc w:val="left"/>
      <w:pPr>
        <w:tabs>
          <w:tab w:val="num" w:pos="340"/>
        </w:tabs>
        <w:ind w:left="720" w:hanging="720"/>
      </w:pPr>
      <w:rPr>
        <w:rFonts w:hint="default"/>
      </w:rPr>
    </w:lvl>
    <w:lvl w:ilvl="1">
      <w:start w:val="1"/>
      <w:numFmt w:val="decimal"/>
      <w:lvlText w:val="%1.%2."/>
      <w:lvlJc w:val="left"/>
      <w:pPr>
        <w:tabs>
          <w:tab w:val="num" w:pos="340"/>
        </w:tabs>
        <w:ind w:left="0" w:firstLine="0"/>
      </w:pPr>
      <w:rPr>
        <w:rFonts w:hint="default"/>
      </w:rPr>
    </w:lvl>
    <w:lvl w:ilvl="2">
      <w:start w:val="1"/>
      <w:numFmt w:val="decimal"/>
      <w:lvlText w:val="%1.%2.%3."/>
      <w:lvlJc w:val="left"/>
      <w:pPr>
        <w:tabs>
          <w:tab w:val="num" w:pos="284"/>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22" w15:restartNumberingAfterBreak="0">
    <w:nsid w:val="4AD74C8B"/>
    <w:multiLevelType w:val="multilevel"/>
    <w:tmpl w:val="6F2C51C4"/>
    <w:lvl w:ilvl="0">
      <w:start w:val="1"/>
      <w:numFmt w:val="decimal"/>
      <w:lvlText w:val="%1"/>
      <w:lvlJc w:val="left"/>
      <w:pPr>
        <w:tabs>
          <w:tab w:val="num" w:pos="284"/>
        </w:tabs>
        <w:ind w:left="720" w:hanging="72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284"/>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23" w15:restartNumberingAfterBreak="0">
    <w:nsid w:val="509C25F3"/>
    <w:multiLevelType w:val="multilevel"/>
    <w:tmpl w:val="FD88EF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24" w15:restartNumberingAfterBreak="0">
    <w:nsid w:val="5BE809E1"/>
    <w:multiLevelType w:val="multilevel"/>
    <w:tmpl w:val="6AC0B2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2160"/>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25" w15:restartNumberingAfterBreak="0">
    <w:nsid w:val="5CBD1A63"/>
    <w:multiLevelType w:val="hybridMultilevel"/>
    <w:tmpl w:val="DD024FFC"/>
    <w:lvl w:ilvl="0" w:tplc="82A207AC">
      <w:numFmt w:val="bullet"/>
      <w:lvlText w:val="-"/>
      <w:lvlJc w:val="left"/>
      <w:pPr>
        <w:tabs>
          <w:tab w:val="num" w:pos="720"/>
        </w:tabs>
        <w:ind w:left="720" w:hanging="360"/>
      </w:pPr>
      <w:rPr>
        <w:rFonts w:ascii="Georgia" w:eastAsia="Times New Roman" w:hAnsi="Georgi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107768"/>
    <w:multiLevelType w:val="hybridMultilevel"/>
    <w:tmpl w:val="2400907C"/>
    <w:lvl w:ilvl="0" w:tplc="2808291A">
      <w:start w:val="4"/>
      <w:numFmt w:val="bullet"/>
      <w:lvlText w:val="-"/>
      <w:lvlJc w:val="left"/>
      <w:pPr>
        <w:tabs>
          <w:tab w:val="num" w:pos="720"/>
        </w:tabs>
        <w:ind w:left="720" w:hanging="360"/>
      </w:pPr>
      <w:rPr>
        <w:rFonts w:ascii="Georgia" w:eastAsia="Times New Roman" w:hAnsi="Georgi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6D2774"/>
    <w:multiLevelType w:val="hybridMultilevel"/>
    <w:tmpl w:val="A08EF8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9A7B7D"/>
    <w:multiLevelType w:val="multilevel"/>
    <w:tmpl w:val="BF025946"/>
    <w:lvl w:ilvl="0">
      <w:start w:val="1"/>
      <w:numFmt w:val="decimal"/>
      <w:lvlText w:val="%1"/>
      <w:lvlJc w:val="left"/>
      <w:pPr>
        <w:tabs>
          <w:tab w:val="num" w:pos="284"/>
        </w:tabs>
        <w:ind w:left="720" w:hanging="72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567"/>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29" w15:restartNumberingAfterBreak="0">
    <w:nsid w:val="66BE43A7"/>
    <w:multiLevelType w:val="hybridMultilevel"/>
    <w:tmpl w:val="55F8A680"/>
    <w:lvl w:ilvl="0" w:tplc="0413000F">
      <w:start w:val="1"/>
      <w:numFmt w:val="decimal"/>
      <w:lvlText w:val="%1."/>
      <w:lvlJc w:val="left"/>
      <w:pPr>
        <w:tabs>
          <w:tab w:val="num" w:pos="765"/>
        </w:tabs>
        <w:ind w:left="765" w:hanging="360"/>
      </w:pPr>
    </w:lvl>
    <w:lvl w:ilvl="1" w:tplc="04130019" w:tentative="1">
      <w:start w:val="1"/>
      <w:numFmt w:val="lowerLetter"/>
      <w:lvlText w:val="%2."/>
      <w:lvlJc w:val="left"/>
      <w:pPr>
        <w:tabs>
          <w:tab w:val="num" w:pos="1485"/>
        </w:tabs>
        <w:ind w:left="1485" w:hanging="360"/>
      </w:pPr>
    </w:lvl>
    <w:lvl w:ilvl="2" w:tplc="0413001B" w:tentative="1">
      <w:start w:val="1"/>
      <w:numFmt w:val="lowerRoman"/>
      <w:lvlText w:val="%3."/>
      <w:lvlJc w:val="right"/>
      <w:pPr>
        <w:tabs>
          <w:tab w:val="num" w:pos="2205"/>
        </w:tabs>
        <w:ind w:left="2205" w:hanging="180"/>
      </w:pPr>
    </w:lvl>
    <w:lvl w:ilvl="3" w:tplc="0413000F" w:tentative="1">
      <w:start w:val="1"/>
      <w:numFmt w:val="decimal"/>
      <w:lvlText w:val="%4."/>
      <w:lvlJc w:val="left"/>
      <w:pPr>
        <w:tabs>
          <w:tab w:val="num" w:pos="2925"/>
        </w:tabs>
        <w:ind w:left="2925" w:hanging="360"/>
      </w:pPr>
    </w:lvl>
    <w:lvl w:ilvl="4" w:tplc="04130019" w:tentative="1">
      <w:start w:val="1"/>
      <w:numFmt w:val="lowerLetter"/>
      <w:lvlText w:val="%5."/>
      <w:lvlJc w:val="left"/>
      <w:pPr>
        <w:tabs>
          <w:tab w:val="num" w:pos="3645"/>
        </w:tabs>
        <w:ind w:left="3645" w:hanging="360"/>
      </w:pPr>
    </w:lvl>
    <w:lvl w:ilvl="5" w:tplc="0413001B" w:tentative="1">
      <w:start w:val="1"/>
      <w:numFmt w:val="lowerRoman"/>
      <w:lvlText w:val="%6."/>
      <w:lvlJc w:val="right"/>
      <w:pPr>
        <w:tabs>
          <w:tab w:val="num" w:pos="4365"/>
        </w:tabs>
        <w:ind w:left="4365" w:hanging="180"/>
      </w:pPr>
    </w:lvl>
    <w:lvl w:ilvl="6" w:tplc="0413000F" w:tentative="1">
      <w:start w:val="1"/>
      <w:numFmt w:val="decimal"/>
      <w:lvlText w:val="%7."/>
      <w:lvlJc w:val="left"/>
      <w:pPr>
        <w:tabs>
          <w:tab w:val="num" w:pos="5085"/>
        </w:tabs>
        <w:ind w:left="5085" w:hanging="360"/>
      </w:pPr>
    </w:lvl>
    <w:lvl w:ilvl="7" w:tplc="04130019" w:tentative="1">
      <w:start w:val="1"/>
      <w:numFmt w:val="lowerLetter"/>
      <w:lvlText w:val="%8."/>
      <w:lvlJc w:val="left"/>
      <w:pPr>
        <w:tabs>
          <w:tab w:val="num" w:pos="5805"/>
        </w:tabs>
        <w:ind w:left="5805" w:hanging="360"/>
      </w:pPr>
    </w:lvl>
    <w:lvl w:ilvl="8" w:tplc="0413001B" w:tentative="1">
      <w:start w:val="1"/>
      <w:numFmt w:val="lowerRoman"/>
      <w:lvlText w:val="%9."/>
      <w:lvlJc w:val="right"/>
      <w:pPr>
        <w:tabs>
          <w:tab w:val="num" w:pos="6525"/>
        </w:tabs>
        <w:ind w:left="6525" w:hanging="180"/>
      </w:pPr>
    </w:lvl>
  </w:abstractNum>
  <w:abstractNum w:abstractNumId="30" w15:restartNumberingAfterBreak="0">
    <w:nsid w:val="67934040"/>
    <w:multiLevelType w:val="hybridMultilevel"/>
    <w:tmpl w:val="139EED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C66A62"/>
    <w:multiLevelType w:val="hybridMultilevel"/>
    <w:tmpl w:val="0F06CE0E"/>
    <w:lvl w:ilvl="0" w:tplc="469651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FC28D2"/>
    <w:multiLevelType w:val="hybridMultilevel"/>
    <w:tmpl w:val="8A3C9704"/>
    <w:lvl w:ilvl="0" w:tplc="04090015">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F9503E1"/>
    <w:multiLevelType w:val="hybridMultilevel"/>
    <w:tmpl w:val="8E06E106"/>
    <w:lvl w:ilvl="0" w:tplc="82A207AC">
      <w:numFmt w:val="bullet"/>
      <w:lvlText w:val="-"/>
      <w:lvlJc w:val="left"/>
      <w:pPr>
        <w:tabs>
          <w:tab w:val="num" w:pos="720"/>
        </w:tabs>
        <w:ind w:left="720" w:hanging="360"/>
      </w:pPr>
      <w:rPr>
        <w:rFonts w:ascii="Georgia" w:eastAsia="Times New Roman" w:hAnsi="Georgi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2B70AF"/>
    <w:multiLevelType w:val="multilevel"/>
    <w:tmpl w:val="7FE03D30"/>
    <w:lvl w:ilvl="0">
      <w:start w:val="1"/>
      <w:numFmt w:val="decimal"/>
      <w:lvlText w:val="%1"/>
      <w:lvlJc w:val="left"/>
      <w:pPr>
        <w:tabs>
          <w:tab w:val="num" w:pos="567"/>
        </w:tabs>
        <w:ind w:left="720" w:hanging="72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35" w15:restartNumberingAfterBreak="0">
    <w:nsid w:val="7606175B"/>
    <w:multiLevelType w:val="multilevel"/>
    <w:tmpl w:val="EAFA3D4A"/>
    <w:lvl w:ilvl="0">
      <w:start w:val="1"/>
      <w:numFmt w:val="decimal"/>
      <w:lvlText w:val="%1"/>
      <w:lvlJc w:val="left"/>
      <w:pPr>
        <w:tabs>
          <w:tab w:val="num" w:pos="567"/>
        </w:tabs>
        <w:ind w:left="720" w:hanging="72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2160"/>
        </w:tabs>
        <w:ind w:left="170" w:hanging="17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36" w15:restartNumberingAfterBreak="0">
    <w:nsid w:val="76C70B00"/>
    <w:multiLevelType w:val="hybridMultilevel"/>
    <w:tmpl w:val="446EAD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3E76A1"/>
    <w:multiLevelType w:val="multilevel"/>
    <w:tmpl w:val="1FEAA6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38" w15:restartNumberingAfterBreak="0">
    <w:nsid w:val="7C453AE2"/>
    <w:multiLevelType w:val="hybridMultilevel"/>
    <w:tmpl w:val="864691C0"/>
    <w:lvl w:ilvl="0" w:tplc="AD169C4C">
      <w:start w:val="1"/>
      <w:numFmt w:val="bullet"/>
      <w:lvlText w:val="-"/>
      <w:lvlJc w:val="left"/>
      <w:pPr>
        <w:tabs>
          <w:tab w:val="num" w:pos="720"/>
        </w:tabs>
        <w:ind w:left="720" w:hanging="360"/>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6996631">
    <w:abstractNumId w:val="20"/>
  </w:num>
  <w:num w:numId="2" w16cid:durableId="706758469">
    <w:abstractNumId w:val="16"/>
  </w:num>
  <w:num w:numId="3" w16cid:durableId="977220804">
    <w:abstractNumId w:val="23"/>
  </w:num>
  <w:num w:numId="4" w16cid:durableId="499276386">
    <w:abstractNumId w:val="9"/>
  </w:num>
  <w:num w:numId="5" w16cid:durableId="672027656">
    <w:abstractNumId w:val="12"/>
  </w:num>
  <w:num w:numId="6" w16cid:durableId="1032459843">
    <w:abstractNumId w:val="13"/>
  </w:num>
  <w:num w:numId="7" w16cid:durableId="2044669108">
    <w:abstractNumId w:val="3"/>
  </w:num>
  <w:num w:numId="8" w16cid:durableId="866990690">
    <w:abstractNumId w:val="37"/>
  </w:num>
  <w:num w:numId="9" w16cid:durableId="1052579068">
    <w:abstractNumId w:val="1"/>
  </w:num>
  <w:num w:numId="10" w16cid:durableId="1090195072">
    <w:abstractNumId w:val="24"/>
  </w:num>
  <w:num w:numId="11" w16cid:durableId="363334561">
    <w:abstractNumId w:val="0"/>
  </w:num>
  <w:num w:numId="12" w16cid:durableId="1680549050">
    <w:abstractNumId w:val="35"/>
  </w:num>
  <w:num w:numId="13" w16cid:durableId="2031905209">
    <w:abstractNumId w:val="34"/>
  </w:num>
  <w:num w:numId="14" w16cid:durableId="782579827">
    <w:abstractNumId w:val="4"/>
  </w:num>
  <w:num w:numId="15" w16cid:durableId="1421683457">
    <w:abstractNumId w:val="28"/>
  </w:num>
  <w:num w:numId="16" w16cid:durableId="1218665360">
    <w:abstractNumId w:val="22"/>
  </w:num>
  <w:num w:numId="17" w16cid:durableId="721565322">
    <w:abstractNumId w:val="2"/>
  </w:num>
  <w:num w:numId="18" w16cid:durableId="311448098">
    <w:abstractNumId w:val="21"/>
  </w:num>
  <w:num w:numId="19" w16cid:durableId="1105686097">
    <w:abstractNumId w:val="27"/>
  </w:num>
  <w:num w:numId="20" w16cid:durableId="610359696">
    <w:abstractNumId w:val="33"/>
  </w:num>
  <w:num w:numId="21" w16cid:durableId="1894000981">
    <w:abstractNumId w:val="25"/>
  </w:num>
  <w:num w:numId="22" w16cid:durableId="1896116825">
    <w:abstractNumId w:val="30"/>
  </w:num>
  <w:num w:numId="23" w16cid:durableId="1934120605">
    <w:abstractNumId w:val="36"/>
  </w:num>
  <w:num w:numId="24" w16cid:durableId="1872109869">
    <w:abstractNumId w:val="29"/>
  </w:num>
  <w:num w:numId="25" w16cid:durableId="733160640">
    <w:abstractNumId w:val="14"/>
  </w:num>
  <w:num w:numId="26" w16cid:durableId="806432525">
    <w:abstractNumId w:val="7"/>
  </w:num>
  <w:num w:numId="27" w16cid:durableId="1843356159">
    <w:abstractNumId w:val="15"/>
  </w:num>
  <w:num w:numId="28" w16cid:durableId="281346597">
    <w:abstractNumId w:val="19"/>
  </w:num>
  <w:num w:numId="29" w16cid:durableId="776603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0842581">
    <w:abstractNumId w:val="5"/>
  </w:num>
  <w:num w:numId="31" w16cid:durableId="1946837554">
    <w:abstractNumId w:val="26"/>
  </w:num>
  <w:num w:numId="32" w16cid:durableId="1218739809">
    <w:abstractNumId w:val="8"/>
  </w:num>
  <w:num w:numId="33" w16cid:durableId="1186749445">
    <w:abstractNumId w:val="17"/>
  </w:num>
  <w:num w:numId="34" w16cid:durableId="308633723">
    <w:abstractNumId w:val="9"/>
    <w:lvlOverride w:ilvl="0">
      <w:startOverride w:val="4"/>
    </w:lvlOverride>
    <w:lvlOverride w:ilvl="1">
      <w:startOverride w:val="5"/>
    </w:lvlOverride>
  </w:num>
  <w:num w:numId="35" w16cid:durableId="2096323588">
    <w:abstractNumId w:val="18"/>
  </w:num>
  <w:num w:numId="36" w16cid:durableId="1280259714">
    <w:abstractNumId w:val="38"/>
  </w:num>
  <w:num w:numId="37" w16cid:durableId="1148127503">
    <w:abstractNumId w:val="10"/>
  </w:num>
  <w:num w:numId="38" w16cid:durableId="358382">
    <w:abstractNumId w:val="6"/>
  </w:num>
  <w:num w:numId="39" w16cid:durableId="1105034122">
    <w:abstractNumId w:val="31"/>
  </w:num>
  <w:num w:numId="40" w16cid:durableId="14779895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c7c7c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65"/>
    <w:rsid w:val="000013CE"/>
    <w:rsid w:val="00003222"/>
    <w:rsid w:val="00005844"/>
    <w:rsid w:val="00006965"/>
    <w:rsid w:val="00011E40"/>
    <w:rsid w:val="000123E9"/>
    <w:rsid w:val="00013A6C"/>
    <w:rsid w:val="000167C3"/>
    <w:rsid w:val="00023DB3"/>
    <w:rsid w:val="00024662"/>
    <w:rsid w:val="000269AD"/>
    <w:rsid w:val="00037D68"/>
    <w:rsid w:val="00047898"/>
    <w:rsid w:val="00052D22"/>
    <w:rsid w:val="00070CFE"/>
    <w:rsid w:val="0007508E"/>
    <w:rsid w:val="000951E7"/>
    <w:rsid w:val="0009526D"/>
    <w:rsid w:val="00095677"/>
    <w:rsid w:val="000B1B44"/>
    <w:rsid w:val="000B3DD1"/>
    <w:rsid w:val="000B436D"/>
    <w:rsid w:val="000B6863"/>
    <w:rsid w:val="000B75B3"/>
    <w:rsid w:val="000B7E15"/>
    <w:rsid w:val="000C473C"/>
    <w:rsid w:val="000D1B91"/>
    <w:rsid w:val="000D3019"/>
    <w:rsid w:val="000E1924"/>
    <w:rsid w:val="000F49E4"/>
    <w:rsid w:val="000F7335"/>
    <w:rsid w:val="00100833"/>
    <w:rsid w:val="00102B47"/>
    <w:rsid w:val="001070F5"/>
    <w:rsid w:val="00113AAF"/>
    <w:rsid w:val="00114B9C"/>
    <w:rsid w:val="001157F1"/>
    <w:rsid w:val="00123FBC"/>
    <w:rsid w:val="00141D63"/>
    <w:rsid w:val="001560B3"/>
    <w:rsid w:val="00156C52"/>
    <w:rsid w:val="00161C00"/>
    <w:rsid w:val="001775DC"/>
    <w:rsid w:val="001776EB"/>
    <w:rsid w:val="00184199"/>
    <w:rsid w:val="0018495E"/>
    <w:rsid w:val="001872ED"/>
    <w:rsid w:val="001B05CC"/>
    <w:rsid w:val="001B4F81"/>
    <w:rsid w:val="001C22FF"/>
    <w:rsid w:val="001C6D23"/>
    <w:rsid w:val="001D3D90"/>
    <w:rsid w:val="001D4F5D"/>
    <w:rsid w:val="001D5174"/>
    <w:rsid w:val="001E06CE"/>
    <w:rsid w:val="001E218B"/>
    <w:rsid w:val="001E6B05"/>
    <w:rsid w:val="001F3922"/>
    <w:rsid w:val="001F3C9B"/>
    <w:rsid w:val="001F4011"/>
    <w:rsid w:val="001F4249"/>
    <w:rsid w:val="001F741B"/>
    <w:rsid w:val="00202DF1"/>
    <w:rsid w:val="0020465E"/>
    <w:rsid w:val="002048E2"/>
    <w:rsid w:val="002079CC"/>
    <w:rsid w:val="00207F8F"/>
    <w:rsid w:val="00222F6A"/>
    <w:rsid w:val="00223457"/>
    <w:rsid w:val="002304F0"/>
    <w:rsid w:val="00230BA5"/>
    <w:rsid w:val="002332FB"/>
    <w:rsid w:val="002423E4"/>
    <w:rsid w:val="00247CC0"/>
    <w:rsid w:val="002526A6"/>
    <w:rsid w:val="002535DC"/>
    <w:rsid w:val="002537AE"/>
    <w:rsid w:val="00256F9D"/>
    <w:rsid w:val="002620B2"/>
    <w:rsid w:val="002675FA"/>
    <w:rsid w:val="00281615"/>
    <w:rsid w:val="00287BAD"/>
    <w:rsid w:val="002A0841"/>
    <w:rsid w:val="002A601C"/>
    <w:rsid w:val="002A78EC"/>
    <w:rsid w:val="002B0568"/>
    <w:rsid w:val="002B24CE"/>
    <w:rsid w:val="002B2C8A"/>
    <w:rsid w:val="002B7389"/>
    <w:rsid w:val="002C4593"/>
    <w:rsid w:val="002D08CC"/>
    <w:rsid w:val="002D2BBC"/>
    <w:rsid w:val="002D5A36"/>
    <w:rsid w:val="002E6498"/>
    <w:rsid w:val="002F1A66"/>
    <w:rsid w:val="002F62D3"/>
    <w:rsid w:val="00303A49"/>
    <w:rsid w:val="003055F8"/>
    <w:rsid w:val="00310475"/>
    <w:rsid w:val="00326CE5"/>
    <w:rsid w:val="00340064"/>
    <w:rsid w:val="00342B4D"/>
    <w:rsid w:val="003562E0"/>
    <w:rsid w:val="003710AE"/>
    <w:rsid w:val="00372A8F"/>
    <w:rsid w:val="0037421C"/>
    <w:rsid w:val="00390A0C"/>
    <w:rsid w:val="00395FF7"/>
    <w:rsid w:val="003B05F2"/>
    <w:rsid w:val="003B1C58"/>
    <w:rsid w:val="003B71E2"/>
    <w:rsid w:val="003C1CB9"/>
    <w:rsid w:val="003D275C"/>
    <w:rsid w:val="003D6B1C"/>
    <w:rsid w:val="003E0DD3"/>
    <w:rsid w:val="003E2375"/>
    <w:rsid w:val="003E3072"/>
    <w:rsid w:val="003F16A6"/>
    <w:rsid w:val="003F27A6"/>
    <w:rsid w:val="0040253B"/>
    <w:rsid w:val="00402816"/>
    <w:rsid w:val="00403355"/>
    <w:rsid w:val="004069DD"/>
    <w:rsid w:val="004100EA"/>
    <w:rsid w:val="004202CD"/>
    <w:rsid w:val="0042057F"/>
    <w:rsid w:val="004228CC"/>
    <w:rsid w:val="004268DA"/>
    <w:rsid w:val="004358A4"/>
    <w:rsid w:val="00441088"/>
    <w:rsid w:val="00442160"/>
    <w:rsid w:val="00445A2C"/>
    <w:rsid w:val="004545A0"/>
    <w:rsid w:val="0045466C"/>
    <w:rsid w:val="004567B2"/>
    <w:rsid w:val="0046071B"/>
    <w:rsid w:val="00462B99"/>
    <w:rsid w:val="0046549F"/>
    <w:rsid w:val="00466A2C"/>
    <w:rsid w:val="004700E0"/>
    <w:rsid w:val="00474950"/>
    <w:rsid w:val="00476820"/>
    <w:rsid w:val="0048213D"/>
    <w:rsid w:val="00490B51"/>
    <w:rsid w:val="00492F61"/>
    <w:rsid w:val="004930F9"/>
    <w:rsid w:val="00495329"/>
    <w:rsid w:val="00496345"/>
    <w:rsid w:val="00496DC4"/>
    <w:rsid w:val="004A1FD4"/>
    <w:rsid w:val="004A59C2"/>
    <w:rsid w:val="004A621D"/>
    <w:rsid w:val="004B672F"/>
    <w:rsid w:val="004B712D"/>
    <w:rsid w:val="004C7827"/>
    <w:rsid w:val="004D4F65"/>
    <w:rsid w:val="004D6D3B"/>
    <w:rsid w:val="004F2DE2"/>
    <w:rsid w:val="0050692E"/>
    <w:rsid w:val="00506E80"/>
    <w:rsid w:val="00511B62"/>
    <w:rsid w:val="00512F3C"/>
    <w:rsid w:val="0051486F"/>
    <w:rsid w:val="00517ED0"/>
    <w:rsid w:val="0052503B"/>
    <w:rsid w:val="00531D87"/>
    <w:rsid w:val="0053527A"/>
    <w:rsid w:val="00536DA4"/>
    <w:rsid w:val="0055004F"/>
    <w:rsid w:val="00550CC0"/>
    <w:rsid w:val="00554507"/>
    <w:rsid w:val="00556C7A"/>
    <w:rsid w:val="00566032"/>
    <w:rsid w:val="0056686E"/>
    <w:rsid w:val="005730A2"/>
    <w:rsid w:val="0058722F"/>
    <w:rsid w:val="005920B9"/>
    <w:rsid w:val="005A1BD3"/>
    <w:rsid w:val="005B0320"/>
    <w:rsid w:val="005B5804"/>
    <w:rsid w:val="005B7921"/>
    <w:rsid w:val="005C0582"/>
    <w:rsid w:val="005C207D"/>
    <w:rsid w:val="005C5E2F"/>
    <w:rsid w:val="005D0078"/>
    <w:rsid w:val="005D4FFD"/>
    <w:rsid w:val="005E4521"/>
    <w:rsid w:val="005E4B90"/>
    <w:rsid w:val="005E5397"/>
    <w:rsid w:val="005E62C3"/>
    <w:rsid w:val="005E7C51"/>
    <w:rsid w:val="00604B1E"/>
    <w:rsid w:val="006068C7"/>
    <w:rsid w:val="00612029"/>
    <w:rsid w:val="00623A48"/>
    <w:rsid w:val="006249B6"/>
    <w:rsid w:val="00625D0A"/>
    <w:rsid w:val="0064049B"/>
    <w:rsid w:val="00640F6D"/>
    <w:rsid w:val="0064173C"/>
    <w:rsid w:val="0064250A"/>
    <w:rsid w:val="00653ACB"/>
    <w:rsid w:val="0065579B"/>
    <w:rsid w:val="00655A38"/>
    <w:rsid w:val="00655B3D"/>
    <w:rsid w:val="00670CB6"/>
    <w:rsid w:val="00670F91"/>
    <w:rsid w:val="00675FF6"/>
    <w:rsid w:val="0068003E"/>
    <w:rsid w:val="0068579E"/>
    <w:rsid w:val="00685D45"/>
    <w:rsid w:val="00692A35"/>
    <w:rsid w:val="006A22F6"/>
    <w:rsid w:val="006A2EFB"/>
    <w:rsid w:val="006B1B80"/>
    <w:rsid w:val="006B28CD"/>
    <w:rsid w:val="006B7B25"/>
    <w:rsid w:val="006C0663"/>
    <w:rsid w:val="006C2018"/>
    <w:rsid w:val="006C56B7"/>
    <w:rsid w:val="006C6C8F"/>
    <w:rsid w:val="006C7EE3"/>
    <w:rsid w:val="006D04FC"/>
    <w:rsid w:val="006D4DD3"/>
    <w:rsid w:val="006F0A7F"/>
    <w:rsid w:val="006F2B53"/>
    <w:rsid w:val="006F41E0"/>
    <w:rsid w:val="006F5CAA"/>
    <w:rsid w:val="007033E5"/>
    <w:rsid w:val="00706E26"/>
    <w:rsid w:val="0071191E"/>
    <w:rsid w:val="00711931"/>
    <w:rsid w:val="00711E7F"/>
    <w:rsid w:val="00713026"/>
    <w:rsid w:val="007142F5"/>
    <w:rsid w:val="007272B9"/>
    <w:rsid w:val="00734C55"/>
    <w:rsid w:val="00740D79"/>
    <w:rsid w:val="00743E5D"/>
    <w:rsid w:val="007526E0"/>
    <w:rsid w:val="00753EDD"/>
    <w:rsid w:val="00761B57"/>
    <w:rsid w:val="007664C7"/>
    <w:rsid w:val="00782B3F"/>
    <w:rsid w:val="00785478"/>
    <w:rsid w:val="0079014A"/>
    <w:rsid w:val="00790442"/>
    <w:rsid w:val="00790EC0"/>
    <w:rsid w:val="0079178D"/>
    <w:rsid w:val="0079782F"/>
    <w:rsid w:val="007A5136"/>
    <w:rsid w:val="007A76D4"/>
    <w:rsid w:val="007B2AAE"/>
    <w:rsid w:val="007B38D7"/>
    <w:rsid w:val="007B5746"/>
    <w:rsid w:val="007B7F46"/>
    <w:rsid w:val="007C173F"/>
    <w:rsid w:val="007C337A"/>
    <w:rsid w:val="007D6DAC"/>
    <w:rsid w:val="007D7291"/>
    <w:rsid w:val="007D7A1A"/>
    <w:rsid w:val="007E135D"/>
    <w:rsid w:val="007E1794"/>
    <w:rsid w:val="007E185B"/>
    <w:rsid w:val="007E74C3"/>
    <w:rsid w:val="007F0386"/>
    <w:rsid w:val="007F1F37"/>
    <w:rsid w:val="007F318F"/>
    <w:rsid w:val="007F7791"/>
    <w:rsid w:val="00803664"/>
    <w:rsid w:val="00805365"/>
    <w:rsid w:val="008059DF"/>
    <w:rsid w:val="00806EBF"/>
    <w:rsid w:val="00811434"/>
    <w:rsid w:val="00814AED"/>
    <w:rsid w:val="00821686"/>
    <w:rsid w:val="008262B9"/>
    <w:rsid w:val="0083293C"/>
    <w:rsid w:val="008344B1"/>
    <w:rsid w:val="008405F3"/>
    <w:rsid w:val="00841D18"/>
    <w:rsid w:val="00847CEF"/>
    <w:rsid w:val="00850645"/>
    <w:rsid w:val="0085527D"/>
    <w:rsid w:val="008623C1"/>
    <w:rsid w:val="00862688"/>
    <w:rsid w:val="00862927"/>
    <w:rsid w:val="00865941"/>
    <w:rsid w:val="00865E72"/>
    <w:rsid w:val="00886DC2"/>
    <w:rsid w:val="00893A52"/>
    <w:rsid w:val="00893E01"/>
    <w:rsid w:val="008A463A"/>
    <w:rsid w:val="008A55E7"/>
    <w:rsid w:val="008B0235"/>
    <w:rsid w:val="008B0F07"/>
    <w:rsid w:val="008B58F9"/>
    <w:rsid w:val="008C5AAC"/>
    <w:rsid w:val="008C5E9C"/>
    <w:rsid w:val="008D5CAE"/>
    <w:rsid w:val="008D5F16"/>
    <w:rsid w:val="008D7B23"/>
    <w:rsid w:val="008E1D55"/>
    <w:rsid w:val="008E3DA5"/>
    <w:rsid w:val="008E5F82"/>
    <w:rsid w:val="008E7651"/>
    <w:rsid w:val="008F261E"/>
    <w:rsid w:val="008F5365"/>
    <w:rsid w:val="008F5B42"/>
    <w:rsid w:val="0090039C"/>
    <w:rsid w:val="009003A6"/>
    <w:rsid w:val="00906ACF"/>
    <w:rsid w:val="00910D67"/>
    <w:rsid w:val="0092001C"/>
    <w:rsid w:val="0092229A"/>
    <w:rsid w:val="009268F7"/>
    <w:rsid w:val="00926937"/>
    <w:rsid w:val="009275E0"/>
    <w:rsid w:val="00933837"/>
    <w:rsid w:val="00935D46"/>
    <w:rsid w:val="009457B1"/>
    <w:rsid w:val="0095013A"/>
    <w:rsid w:val="00965D30"/>
    <w:rsid w:val="0097183E"/>
    <w:rsid w:val="00974B0E"/>
    <w:rsid w:val="009835D3"/>
    <w:rsid w:val="00993A1D"/>
    <w:rsid w:val="009A163D"/>
    <w:rsid w:val="009A460E"/>
    <w:rsid w:val="009A5083"/>
    <w:rsid w:val="009B6157"/>
    <w:rsid w:val="009B7F1D"/>
    <w:rsid w:val="009C3BFA"/>
    <w:rsid w:val="009C7555"/>
    <w:rsid w:val="009D493E"/>
    <w:rsid w:val="009D60A2"/>
    <w:rsid w:val="009E273A"/>
    <w:rsid w:val="009E3280"/>
    <w:rsid w:val="009E3827"/>
    <w:rsid w:val="009E44EF"/>
    <w:rsid w:val="009E48D7"/>
    <w:rsid w:val="009F0521"/>
    <w:rsid w:val="009F10A1"/>
    <w:rsid w:val="009F2F80"/>
    <w:rsid w:val="00A000A1"/>
    <w:rsid w:val="00A01E0D"/>
    <w:rsid w:val="00A127C1"/>
    <w:rsid w:val="00A236F7"/>
    <w:rsid w:val="00A31B06"/>
    <w:rsid w:val="00A32701"/>
    <w:rsid w:val="00A463D3"/>
    <w:rsid w:val="00A471E3"/>
    <w:rsid w:val="00A47C8E"/>
    <w:rsid w:val="00A51EC5"/>
    <w:rsid w:val="00A5605D"/>
    <w:rsid w:val="00A568F5"/>
    <w:rsid w:val="00A56B06"/>
    <w:rsid w:val="00A6105A"/>
    <w:rsid w:val="00A638F6"/>
    <w:rsid w:val="00A64D0D"/>
    <w:rsid w:val="00A666CC"/>
    <w:rsid w:val="00A70237"/>
    <w:rsid w:val="00A7480C"/>
    <w:rsid w:val="00A767EC"/>
    <w:rsid w:val="00A76F3E"/>
    <w:rsid w:val="00A90256"/>
    <w:rsid w:val="00A949EA"/>
    <w:rsid w:val="00A94D1A"/>
    <w:rsid w:val="00AA3188"/>
    <w:rsid w:val="00AC1407"/>
    <w:rsid w:val="00AC22EA"/>
    <w:rsid w:val="00AD0573"/>
    <w:rsid w:val="00AD4C0B"/>
    <w:rsid w:val="00AE0DA7"/>
    <w:rsid w:val="00AE4379"/>
    <w:rsid w:val="00AE7CF0"/>
    <w:rsid w:val="00AF013A"/>
    <w:rsid w:val="00AF05E7"/>
    <w:rsid w:val="00AF5108"/>
    <w:rsid w:val="00AF534C"/>
    <w:rsid w:val="00AF54FE"/>
    <w:rsid w:val="00B0259D"/>
    <w:rsid w:val="00B036CD"/>
    <w:rsid w:val="00B03AE5"/>
    <w:rsid w:val="00B03FB0"/>
    <w:rsid w:val="00B05B1D"/>
    <w:rsid w:val="00B11CD9"/>
    <w:rsid w:val="00B13627"/>
    <w:rsid w:val="00B1659B"/>
    <w:rsid w:val="00B168B8"/>
    <w:rsid w:val="00B2110A"/>
    <w:rsid w:val="00B23D74"/>
    <w:rsid w:val="00B30353"/>
    <w:rsid w:val="00B32564"/>
    <w:rsid w:val="00B35A9E"/>
    <w:rsid w:val="00B60A5B"/>
    <w:rsid w:val="00B6168E"/>
    <w:rsid w:val="00B64313"/>
    <w:rsid w:val="00B662DD"/>
    <w:rsid w:val="00B74C67"/>
    <w:rsid w:val="00B84523"/>
    <w:rsid w:val="00B86B68"/>
    <w:rsid w:val="00B877CD"/>
    <w:rsid w:val="00B94C18"/>
    <w:rsid w:val="00B95CFA"/>
    <w:rsid w:val="00B95FD3"/>
    <w:rsid w:val="00BB1BF6"/>
    <w:rsid w:val="00BB6AA2"/>
    <w:rsid w:val="00BC13BA"/>
    <w:rsid w:val="00BC23DB"/>
    <w:rsid w:val="00BD42F1"/>
    <w:rsid w:val="00BD6162"/>
    <w:rsid w:val="00BE532A"/>
    <w:rsid w:val="00BE7A6F"/>
    <w:rsid w:val="00BE7B82"/>
    <w:rsid w:val="00BF087C"/>
    <w:rsid w:val="00BF100D"/>
    <w:rsid w:val="00BF1AD4"/>
    <w:rsid w:val="00BF5B4D"/>
    <w:rsid w:val="00C01436"/>
    <w:rsid w:val="00C03956"/>
    <w:rsid w:val="00C06EE5"/>
    <w:rsid w:val="00C10E44"/>
    <w:rsid w:val="00C151F6"/>
    <w:rsid w:val="00C22B70"/>
    <w:rsid w:val="00C2719D"/>
    <w:rsid w:val="00C274E4"/>
    <w:rsid w:val="00C304F1"/>
    <w:rsid w:val="00C3532E"/>
    <w:rsid w:val="00C424F8"/>
    <w:rsid w:val="00C42EC8"/>
    <w:rsid w:val="00C44308"/>
    <w:rsid w:val="00C44646"/>
    <w:rsid w:val="00C46FB3"/>
    <w:rsid w:val="00C54DD3"/>
    <w:rsid w:val="00C626F9"/>
    <w:rsid w:val="00C63245"/>
    <w:rsid w:val="00C63692"/>
    <w:rsid w:val="00C65077"/>
    <w:rsid w:val="00C726E5"/>
    <w:rsid w:val="00C72BCF"/>
    <w:rsid w:val="00C775B1"/>
    <w:rsid w:val="00C8010C"/>
    <w:rsid w:val="00C846DA"/>
    <w:rsid w:val="00C86F12"/>
    <w:rsid w:val="00C90247"/>
    <w:rsid w:val="00CB137B"/>
    <w:rsid w:val="00CB3604"/>
    <w:rsid w:val="00CB759B"/>
    <w:rsid w:val="00CC2CDE"/>
    <w:rsid w:val="00CD3D21"/>
    <w:rsid w:val="00CD70A1"/>
    <w:rsid w:val="00CD7A0E"/>
    <w:rsid w:val="00CE65C6"/>
    <w:rsid w:val="00CF4C86"/>
    <w:rsid w:val="00CF52ED"/>
    <w:rsid w:val="00D00A18"/>
    <w:rsid w:val="00D01D50"/>
    <w:rsid w:val="00D02CA7"/>
    <w:rsid w:val="00D06B6E"/>
    <w:rsid w:val="00D13E30"/>
    <w:rsid w:val="00D21C6A"/>
    <w:rsid w:val="00D253A3"/>
    <w:rsid w:val="00D315BC"/>
    <w:rsid w:val="00D32B9A"/>
    <w:rsid w:val="00D32FDA"/>
    <w:rsid w:val="00D34ECD"/>
    <w:rsid w:val="00D43CC9"/>
    <w:rsid w:val="00D44E1C"/>
    <w:rsid w:val="00D51352"/>
    <w:rsid w:val="00D5595D"/>
    <w:rsid w:val="00D56A85"/>
    <w:rsid w:val="00D63F7B"/>
    <w:rsid w:val="00D71406"/>
    <w:rsid w:val="00D73377"/>
    <w:rsid w:val="00D75D32"/>
    <w:rsid w:val="00D826BB"/>
    <w:rsid w:val="00DA7E02"/>
    <w:rsid w:val="00DC1B49"/>
    <w:rsid w:val="00DC270E"/>
    <w:rsid w:val="00DC34BA"/>
    <w:rsid w:val="00DD2D4D"/>
    <w:rsid w:val="00DE1559"/>
    <w:rsid w:val="00DE5C28"/>
    <w:rsid w:val="00DF6EA9"/>
    <w:rsid w:val="00E01F8A"/>
    <w:rsid w:val="00E07F77"/>
    <w:rsid w:val="00E14A7D"/>
    <w:rsid w:val="00E16C2E"/>
    <w:rsid w:val="00E305C1"/>
    <w:rsid w:val="00E310E9"/>
    <w:rsid w:val="00E3384D"/>
    <w:rsid w:val="00E33C8C"/>
    <w:rsid w:val="00E3513F"/>
    <w:rsid w:val="00E50E25"/>
    <w:rsid w:val="00E5544C"/>
    <w:rsid w:val="00E5593D"/>
    <w:rsid w:val="00E57FB7"/>
    <w:rsid w:val="00E6421C"/>
    <w:rsid w:val="00E66BA7"/>
    <w:rsid w:val="00E77C14"/>
    <w:rsid w:val="00E8682B"/>
    <w:rsid w:val="00E90189"/>
    <w:rsid w:val="00E914B9"/>
    <w:rsid w:val="00EA1A84"/>
    <w:rsid w:val="00EA1ED3"/>
    <w:rsid w:val="00EA2F57"/>
    <w:rsid w:val="00EA4C41"/>
    <w:rsid w:val="00EA611A"/>
    <w:rsid w:val="00EB025D"/>
    <w:rsid w:val="00EB2A06"/>
    <w:rsid w:val="00EB2B74"/>
    <w:rsid w:val="00EB691D"/>
    <w:rsid w:val="00ED6749"/>
    <w:rsid w:val="00ED6C84"/>
    <w:rsid w:val="00EE1B12"/>
    <w:rsid w:val="00EE568D"/>
    <w:rsid w:val="00EF2994"/>
    <w:rsid w:val="00EF2B12"/>
    <w:rsid w:val="00F038C3"/>
    <w:rsid w:val="00F06131"/>
    <w:rsid w:val="00F117D0"/>
    <w:rsid w:val="00F12804"/>
    <w:rsid w:val="00F15D54"/>
    <w:rsid w:val="00F17D3B"/>
    <w:rsid w:val="00F17FA4"/>
    <w:rsid w:val="00F2448B"/>
    <w:rsid w:val="00F26C31"/>
    <w:rsid w:val="00F277EC"/>
    <w:rsid w:val="00F27BCE"/>
    <w:rsid w:val="00F30181"/>
    <w:rsid w:val="00F30B5F"/>
    <w:rsid w:val="00F31990"/>
    <w:rsid w:val="00F329ED"/>
    <w:rsid w:val="00F41CE9"/>
    <w:rsid w:val="00F42CDD"/>
    <w:rsid w:val="00F47C03"/>
    <w:rsid w:val="00F52A18"/>
    <w:rsid w:val="00F66E4D"/>
    <w:rsid w:val="00F72A46"/>
    <w:rsid w:val="00F756C4"/>
    <w:rsid w:val="00F77279"/>
    <w:rsid w:val="00F77409"/>
    <w:rsid w:val="00F81AEE"/>
    <w:rsid w:val="00F83748"/>
    <w:rsid w:val="00F85BF2"/>
    <w:rsid w:val="00F91A4E"/>
    <w:rsid w:val="00FA394F"/>
    <w:rsid w:val="00FA3B66"/>
    <w:rsid w:val="00FB212C"/>
    <w:rsid w:val="00FB4833"/>
    <w:rsid w:val="00FB76EF"/>
    <w:rsid w:val="00FD1FA9"/>
    <w:rsid w:val="00FE0C16"/>
    <w:rsid w:val="00FE254E"/>
    <w:rsid w:val="00FE6943"/>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7c7c7"/>
    </o:shapedefaults>
    <o:shapelayout v:ext="edit">
      <o:idmap v:ext="edit" data="2"/>
    </o:shapelayout>
  </w:shapeDefaults>
  <w:decimalSymbol w:val=","/>
  <w:listSeparator w:val=";"/>
  <w14:docId w14:val="64930189"/>
  <w15:docId w15:val="{F77CE3E3-C38A-4A3D-9B82-DC3F2521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D3D90"/>
    <w:pPr>
      <w:spacing w:line="256" w:lineRule="exact"/>
    </w:pPr>
    <w:rPr>
      <w:rFonts w:ascii="Georgia" w:hAnsi="Georgia"/>
      <w:lang w:val="nl-NL" w:eastAsia="nl-NL"/>
    </w:rPr>
  </w:style>
  <w:style w:type="paragraph" w:styleId="Kop1">
    <w:name w:val="heading 1"/>
    <w:basedOn w:val="RapportKop"/>
    <w:next w:val="Standaard"/>
    <w:link w:val="Kop1Char"/>
    <w:qFormat/>
    <w:rsid w:val="000B7E15"/>
    <w:pPr>
      <w:keepNext/>
      <w:numPr>
        <w:numId w:val="4"/>
      </w:numPr>
      <w:spacing w:before="240" w:after="60"/>
      <w:outlineLvl w:val="0"/>
    </w:pPr>
    <w:rPr>
      <w:rFonts w:cs="Arial"/>
      <w:bCs/>
      <w:kern w:val="32"/>
      <w:sz w:val="32"/>
      <w:szCs w:val="32"/>
    </w:rPr>
  </w:style>
  <w:style w:type="paragraph" w:styleId="Kop2">
    <w:name w:val="heading 2"/>
    <w:basedOn w:val="Kop1"/>
    <w:next w:val="Standaard"/>
    <w:qFormat/>
    <w:rsid w:val="000B7E15"/>
    <w:pPr>
      <w:numPr>
        <w:ilvl w:val="1"/>
      </w:numPr>
      <w:spacing w:line="256" w:lineRule="exact"/>
      <w:outlineLvl w:val="1"/>
    </w:pPr>
    <w:rPr>
      <w:bCs w:val="0"/>
      <w:iCs/>
      <w:sz w:val="22"/>
      <w:szCs w:val="28"/>
    </w:rPr>
  </w:style>
  <w:style w:type="paragraph" w:styleId="Kop3">
    <w:name w:val="heading 3"/>
    <w:basedOn w:val="Standaard"/>
    <w:next w:val="Standaard"/>
    <w:qFormat/>
    <w:rsid w:val="000167C3"/>
    <w:pPr>
      <w:keepNext/>
      <w:numPr>
        <w:ilvl w:val="2"/>
        <w:numId w:val="4"/>
      </w:numPr>
      <w:spacing w:before="240" w:after="60"/>
      <w:outlineLvl w:val="2"/>
    </w:pPr>
    <w:rPr>
      <w:rFonts w:ascii="Franklin Gothic Medium" w:hAnsi="Franklin Gothic Medium"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gegevens">
    <w:name w:val="adresgegevens"/>
    <w:rsid w:val="00506E80"/>
    <w:pPr>
      <w:spacing w:line="256" w:lineRule="exact"/>
      <w:ind w:hanging="108"/>
    </w:pPr>
    <w:rPr>
      <w:rFonts w:ascii="Georgia" w:hAnsi="Georgia"/>
      <w:color w:val="000000"/>
      <w:lang w:val="nl-NL" w:eastAsia="nl-NL"/>
    </w:rPr>
  </w:style>
  <w:style w:type="paragraph" w:styleId="Koptekst">
    <w:name w:val="header"/>
    <w:basedOn w:val="Standaard"/>
    <w:link w:val="KoptekstChar"/>
    <w:rsid w:val="00AF5108"/>
    <w:pPr>
      <w:tabs>
        <w:tab w:val="center" w:pos="4536"/>
        <w:tab w:val="right" w:pos="9072"/>
      </w:tabs>
    </w:pPr>
  </w:style>
  <w:style w:type="paragraph" w:customStyle="1" w:styleId="afzendergegevens">
    <w:name w:val="afzendergegevens"/>
    <w:basedOn w:val="Standaard"/>
    <w:rsid w:val="00506E80"/>
    <w:pPr>
      <w:ind w:hanging="108"/>
    </w:pPr>
    <w:rPr>
      <w:rFonts w:ascii="Franklin Gothic Book" w:hAnsi="Franklin Gothic Book"/>
      <w:sz w:val="18"/>
    </w:rPr>
  </w:style>
  <w:style w:type="paragraph" w:customStyle="1" w:styleId="RapportKop">
    <w:name w:val="Rapport Kop"/>
    <w:basedOn w:val="Standaard"/>
    <w:link w:val="RapportKopChar"/>
    <w:rsid w:val="00506E80"/>
    <w:pPr>
      <w:spacing w:line="512" w:lineRule="exact"/>
    </w:pPr>
    <w:rPr>
      <w:rFonts w:ascii="Franklin Gothic Medium" w:hAnsi="Franklin Gothic Medium"/>
      <w:sz w:val="38"/>
    </w:rPr>
  </w:style>
  <w:style w:type="paragraph" w:customStyle="1" w:styleId="Soortrapport">
    <w:name w:val="Soortrapport"/>
    <w:rsid w:val="00506E80"/>
    <w:rPr>
      <w:rFonts w:ascii="Franklin Gothic Medium" w:hAnsi="Franklin Gothic Medium"/>
      <w:lang w:val="nl-NL" w:eastAsia="nl-NL"/>
    </w:rPr>
  </w:style>
  <w:style w:type="paragraph" w:styleId="Voettekst">
    <w:name w:val="footer"/>
    <w:basedOn w:val="Standaard"/>
    <w:link w:val="VoettekstChar"/>
    <w:uiPriority w:val="99"/>
    <w:rsid w:val="00AF5108"/>
    <w:pPr>
      <w:tabs>
        <w:tab w:val="center" w:pos="4536"/>
        <w:tab w:val="right" w:pos="9072"/>
      </w:tabs>
    </w:pPr>
  </w:style>
  <w:style w:type="table" w:styleId="Tabelraster">
    <w:name w:val="Table Grid"/>
    <w:basedOn w:val="Standaardtabel"/>
    <w:rsid w:val="00AF5108"/>
    <w:pPr>
      <w:spacing w:line="256"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F5108"/>
  </w:style>
  <w:style w:type="paragraph" w:customStyle="1" w:styleId="rapportreferentie">
    <w:name w:val="rapport referentie"/>
    <w:basedOn w:val="Standaard"/>
    <w:rsid w:val="00AF5108"/>
    <w:rPr>
      <w:rFonts w:ascii="Franklin Gothic Book" w:hAnsi="Franklin Gothic Book"/>
      <w:sz w:val="14"/>
    </w:rPr>
  </w:style>
  <w:style w:type="paragraph" w:styleId="Inhopg1">
    <w:name w:val="toc 1"/>
    <w:basedOn w:val="Standaard"/>
    <w:next w:val="Standaard"/>
    <w:autoRedefine/>
    <w:uiPriority w:val="39"/>
    <w:rsid w:val="002A601C"/>
    <w:pPr>
      <w:tabs>
        <w:tab w:val="left" w:pos="400"/>
        <w:tab w:val="right" w:pos="7920"/>
      </w:tabs>
    </w:pPr>
  </w:style>
  <w:style w:type="character" w:styleId="Hyperlink">
    <w:name w:val="Hyperlink"/>
    <w:basedOn w:val="Standaardalinea-lettertype"/>
    <w:uiPriority w:val="99"/>
    <w:rsid w:val="00B05B1D"/>
    <w:rPr>
      <w:color w:val="0000FF"/>
      <w:u w:val="single"/>
    </w:rPr>
  </w:style>
  <w:style w:type="paragraph" w:styleId="Inhopg2">
    <w:name w:val="toc 2"/>
    <w:basedOn w:val="Standaard"/>
    <w:next w:val="Standaard"/>
    <w:autoRedefine/>
    <w:uiPriority w:val="39"/>
    <w:rsid w:val="002A601C"/>
    <w:pPr>
      <w:tabs>
        <w:tab w:val="left" w:pos="960"/>
        <w:tab w:val="right" w:pos="9000"/>
      </w:tabs>
      <w:ind w:left="200"/>
    </w:pPr>
  </w:style>
  <w:style w:type="paragraph" w:styleId="Inhopg3">
    <w:name w:val="toc 3"/>
    <w:basedOn w:val="Standaard"/>
    <w:next w:val="Standaard"/>
    <w:autoRedefine/>
    <w:semiHidden/>
    <w:rsid w:val="002A601C"/>
    <w:pPr>
      <w:tabs>
        <w:tab w:val="left" w:pos="1200"/>
        <w:tab w:val="right" w:pos="9000"/>
      </w:tabs>
      <w:ind w:left="400"/>
    </w:pPr>
  </w:style>
  <w:style w:type="character" w:customStyle="1" w:styleId="RapportKopChar">
    <w:name w:val="Rapport Kop Char"/>
    <w:basedOn w:val="Standaardalinea-lettertype"/>
    <w:link w:val="RapportKop"/>
    <w:rsid w:val="0045466C"/>
    <w:rPr>
      <w:rFonts w:ascii="Franklin Gothic Medium" w:hAnsi="Franklin Gothic Medium"/>
      <w:sz w:val="38"/>
      <w:lang w:val="nl-NL" w:eastAsia="nl-NL" w:bidi="ar-SA"/>
    </w:rPr>
  </w:style>
  <w:style w:type="character" w:customStyle="1" w:styleId="Kop1Char">
    <w:name w:val="Kop 1 Char"/>
    <w:basedOn w:val="RapportKopChar"/>
    <w:link w:val="Kop1"/>
    <w:rsid w:val="000B7E15"/>
    <w:rPr>
      <w:rFonts w:ascii="Franklin Gothic Medium" w:hAnsi="Franklin Gothic Medium" w:cs="Arial"/>
      <w:bCs/>
      <w:kern w:val="32"/>
      <w:sz w:val="32"/>
      <w:szCs w:val="32"/>
      <w:lang w:val="nl-NL" w:eastAsia="nl-NL" w:bidi="ar-SA"/>
    </w:rPr>
  </w:style>
  <w:style w:type="character" w:customStyle="1" w:styleId="caps">
    <w:name w:val="caps"/>
    <w:basedOn w:val="Standaardalinea-lettertype"/>
    <w:rsid w:val="00A568F5"/>
  </w:style>
  <w:style w:type="paragraph" w:styleId="Voetnoottekst">
    <w:name w:val="footnote text"/>
    <w:basedOn w:val="Standaard"/>
    <w:semiHidden/>
    <w:rsid w:val="00052D22"/>
  </w:style>
  <w:style w:type="character" w:styleId="Voetnootmarkering">
    <w:name w:val="footnote reference"/>
    <w:basedOn w:val="Standaardalinea-lettertype"/>
    <w:semiHidden/>
    <w:rsid w:val="00052D22"/>
    <w:rPr>
      <w:vertAlign w:val="superscript"/>
    </w:rPr>
  </w:style>
  <w:style w:type="character" w:customStyle="1" w:styleId="VoettekstChar">
    <w:name w:val="Voettekst Char"/>
    <w:basedOn w:val="Standaardalinea-lettertype"/>
    <w:link w:val="Voettekst"/>
    <w:uiPriority w:val="99"/>
    <w:rsid w:val="00A127C1"/>
    <w:rPr>
      <w:rFonts w:ascii="Georgia" w:hAnsi="Georgia"/>
      <w:lang w:val="nl-NL" w:eastAsia="nl-NL"/>
    </w:rPr>
  </w:style>
  <w:style w:type="paragraph" w:styleId="Ballontekst">
    <w:name w:val="Balloon Text"/>
    <w:basedOn w:val="Standaard"/>
    <w:link w:val="BallontekstChar"/>
    <w:rsid w:val="00A127C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127C1"/>
    <w:rPr>
      <w:rFonts w:ascii="Tahoma" w:hAnsi="Tahoma" w:cs="Tahoma"/>
      <w:sz w:val="16"/>
      <w:szCs w:val="16"/>
      <w:lang w:val="nl-NL" w:eastAsia="nl-NL"/>
    </w:rPr>
  </w:style>
  <w:style w:type="paragraph" w:styleId="Lijstalinea">
    <w:name w:val="List Paragraph"/>
    <w:basedOn w:val="Standaard"/>
    <w:uiPriority w:val="34"/>
    <w:qFormat/>
    <w:rsid w:val="00893E01"/>
    <w:pPr>
      <w:ind w:left="720"/>
    </w:pPr>
  </w:style>
  <w:style w:type="paragraph" w:customStyle="1" w:styleId="Bulleted">
    <w:name w:val="Bulleted"/>
    <w:aliases w:val="Symbol (symbol),Left:  0&quot;,Hanging:  0,25&quot;"/>
    <w:basedOn w:val="Standaard"/>
    <w:rsid w:val="009F10A1"/>
    <w:pPr>
      <w:numPr>
        <w:numId w:val="37"/>
      </w:numPr>
      <w:spacing w:after="200" w:line="276" w:lineRule="auto"/>
      <w:contextualSpacing/>
    </w:pPr>
    <w:rPr>
      <w:rFonts w:ascii="Arial" w:hAnsi="Arial" w:cs="Arial"/>
      <w:sz w:val="18"/>
      <w:szCs w:val="18"/>
      <w:lang w:eastAsia="en-US"/>
    </w:rPr>
  </w:style>
  <w:style w:type="character" w:customStyle="1" w:styleId="KoptekstChar">
    <w:name w:val="Koptekst Char"/>
    <w:basedOn w:val="Standaardalinea-lettertype"/>
    <w:link w:val="Koptekst"/>
    <w:rsid w:val="009F10A1"/>
    <w:rPr>
      <w:rFonts w:ascii="Georgia" w:hAnsi="Georgia"/>
      <w:lang w:val="nl-NL" w:eastAsia="nl-NL"/>
    </w:rPr>
  </w:style>
  <w:style w:type="paragraph" w:styleId="Bijschrift">
    <w:name w:val="caption"/>
    <w:basedOn w:val="Standaard"/>
    <w:next w:val="Standaard"/>
    <w:qFormat/>
    <w:rsid w:val="009F10A1"/>
    <w:rPr>
      <w:b/>
      <w:bCs/>
    </w:rPr>
  </w:style>
  <w:style w:type="paragraph" w:styleId="Documentstructuur">
    <w:name w:val="Document Map"/>
    <w:basedOn w:val="Standaard"/>
    <w:link w:val="DocumentstructuurChar"/>
    <w:rsid w:val="00711931"/>
    <w:rPr>
      <w:rFonts w:ascii="Tahoma" w:hAnsi="Tahoma" w:cs="Tahoma"/>
      <w:sz w:val="16"/>
      <w:szCs w:val="16"/>
    </w:rPr>
  </w:style>
  <w:style w:type="character" w:customStyle="1" w:styleId="DocumentstructuurChar">
    <w:name w:val="Documentstructuur Char"/>
    <w:basedOn w:val="Standaardalinea-lettertype"/>
    <w:link w:val="Documentstructuur"/>
    <w:rsid w:val="00711931"/>
    <w:rPr>
      <w:rFonts w:ascii="Tahoma" w:hAnsi="Tahoma" w:cs="Tahoma"/>
      <w:sz w:val="16"/>
      <w:szCs w:val="16"/>
      <w:lang w:val="nl-NL" w:eastAsia="nl-NL"/>
    </w:rPr>
  </w:style>
  <w:style w:type="paragraph" w:styleId="Geenafstand">
    <w:name w:val="No Spacing"/>
    <w:uiPriority w:val="1"/>
    <w:qFormat/>
    <w:rsid w:val="008D5F16"/>
    <w:pPr>
      <w:overflowPunct w:val="0"/>
      <w:autoSpaceDE w:val="0"/>
      <w:autoSpaceDN w:val="0"/>
      <w:adjustRightInd w:val="0"/>
    </w:pPr>
    <w:rPr>
      <w:rFonts w:ascii="Calibri" w:hAnsi="Calibri"/>
      <w:color w:val="0B3B60"/>
      <w:sz w:val="22"/>
      <w:lang w:val="nl-NL" w:eastAsia="nl-NL"/>
    </w:rPr>
  </w:style>
  <w:style w:type="character" w:styleId="Onopgelostemelding">
    <w:name w:val="Unresolved Mention"/>
    <w:basedOn w:val="Standaardalinea-lettertype"/>
    <w:uiPriority w:val="99"/>
    <w:semiHidden/>
    <w:unhideWhenUsed/>
    <w:rsid w:val="009D6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96867">
      <w:bodyDiv w:val="1"/>
      <w:marLeft w:val="0"/>
      <w:marRight w:val="0"/>
      <w:marTop w:val="0"/>
      <w:marBottom w:val="0"/>
      <w:divBdr>
        <w:top w:val="none" w:sz="0" w:space="0" w:color="auto"/>
        <w:left w:val="none" w:sz="0" w:space="0" w:color="auto"/>
        <w:bottom w:val="none" w:sz="0" w:space="0" w:color="auto"/>
        <w:right w:val="none" w:sz="0" w:space="0" w:color="auto"/>
      </w:divBdr>
    </w:div>
    <w:div w:id="310865544">
      <w:bodyDiv w:val="1"/>
      <w:marLeft w:val="0"/>
      <w:marRight w:val="0"/>
      <w:marTop w:val="0"/>
      <w:marBottom w:val="0"/>
      <w:divBdr>
        <w:top w:val="none" w:sz="0" w:space="0" w:color="auto"/>
        <w:left w:val="none" w:sz="0" w:space="0" w:color="auto"/>
        <w:bottom w:val="none" w:sz="0" w:space="0" w:color="auto"/>
        <w:right w:val="none" w:sz="0" w:space="0" w:color="auto"/>
      </w:divBdr>
    </w:div>
    <w:div w:id="418020636">
      <w:bodyDiv w:val="1"/>
      <w:marLeft w:val="0"/>
      <w:marRight w:val="0"/>
      <w:marTop w:val="0"/>
      <w:marBottom w:val="0"/>
      <w:divBdr>
        <w:top w:val="none" w:sz="0" w:space="0" w:color="auto"/>
        <w:left w:val="none" w:sz="0" w:space="0" w:color="auto"/>
        <w:bottom w:val="none" w:sz="0" w:space="0" w:color="auto"/>
        <w:right w:val="none" w:sz="0" w:space="0" w:color="auto"/>
      </w:divBdr>
    </w:div>
    <w:div w:id="751853639">
      <w:bodyDiv w:val="1"/>
      <w:marLeft w:val="0"/>
      <w:marRight w:val="0"/>
      <w:marTop w:val="0"/>
      <w:marBottom w:val="0"/>
      <w:divBdr>
        <w:top w:val="none" w:sz="0" w:space="0" w:color="auto"/>
        <w:left w:val="none" w:sz="0" w:space="0" w:color="auto"/>
        <w:bottom w:val="none" w:sz="0" w:space="0" w:color="auto"/>
        <w:right w:val="none" w:sz="0" w:space="0" w:color="auto"/>
      </w:divBdr>
    </w:div>
    <w:div w:id="951325199">
      <w:bodyDiv w:val="1"/>
      <w:marLeft w:val="0"/>
      <w:marRight w:val="0"/>
      <w:marTop w:val="0"/>
      <w:marBottom w:val="0"/>
      <w:divBdr>
        <w:top w:val="none" w:sz="0" w:space="0" w:color="auto"/>
        <w:left w:val="none" w:sz="0" w:space="0" w:color="auto"/>
        <w:bottom w:val="none" w:sz="0" w:space="0" w:color="auto"/>
        <w:right w:val="none" w:sz="0" w:space="0" w:color="auto"/>
      </w:divBdr>
    </w:div>
    <w:div w:id="1335916337">
      <w:bodyDiv w:val="1"/>
      <w:marLeft w:val="0"/>
      <w:marRight w:val="0"/>
      <w:marTop w:val="0"/>
      <w:marBottom w:val="0"/>
      <w:divBdr>
        <w:top w:val="none" w:sz="0" w:space="0" w:color="auto"/>
        <w:left w:val="none" w:sz="0" w:space="0" w:color="auto"/>
        <w:bottom w:val="none" w:sz="0" w:space="0" w:color="auto"/>
        <w:right w:val="none" w:sz="0" w:space="0" w:color="auto"/>
      </w:divBdr>
    </w:div>
    <w:div w:id="1391884503">
      <w:bodyDiv w:val="1"/>
      <w:marLeft w:val="0"/>
      <w:marRight w:val="0"/>
      <w:marTop w:val="0"/>
      <w:marBottom w:val="0"/>
      <w:divBdr>
        <w:top w:val="none" w:sz="0" w:space="0" w:color="auto"/>
        <w:left w:val="none" w:sz="0" w:space="0" w:color="auto"/>
        <w:bottom w:val="none" w:sz="0" w:space="0" w:color="auto"/>
        <w:right w:val="none" w:sz="0" w:space="0" w:color="auto"/>
      </w:divBdr>
    </w:div>
    <w:div w:id="18442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2emissiefactoren.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2emissiefactoren.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2emissiefactoren.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Huisstijl-NPC\Templates\NL\incl%20logo\NPC%20rapport-NL-incl%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CA2E7E37DE4488FBCCD81B69B6E2B" ma:contentTypeVersion="18" ma:contentTypeDescription="Een nieuw document maken." ma:contentTypeScope="" ma:versionID="6756ab6bcc3376395bac0f83df841bf2">
  <xsd:schema xmlns:xsd="http://www.w3.org/2001/XMLSchema" xmlns:xs="http://www.w3.org/2001/XMLSchema" xmlns:p="http://schemas.microsoft.com/office/2006/metadata/properties" xmlns:ns2="fa2d91d3-104d-418f-b578-83fd40418d56" xmlns:ns3="a73a3d98-899d-44cc-b57d-2644164f3c45" targetNamespace="http://schemas.microsoft.com/office/2006/metadata/properties" ma:root="true" ma:fieldsID="231dae2f77ea3fb8335eab560efc5e00" ns2:_="" ns3:_="">
    <xsd:import namespace="fa2d91d3-104d-418f-b578-83fd40418d56"/>
    <xsd:import namespace="a73a3d98-899d-44cc-b57d-2644164f3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d91d3-104d-418f-b578-83fd40418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df16c215-902b-4987-88b3-f6bd58262b0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a3d98-899d-44cc-b57d-2644164f3c4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502b7a4-f601-4529-97ff-4190fcd7be55}" ma:internalName="TaxCatchAll" ma:showField="CatchAllData" ma:web="a73a3d98-899d-44cc-b57d-2644164f3c4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2d91d3-104d-418f-b578-83fd40418d56">
      <Terms xmlns="http://schemas.microsoft.com/office/infopath/2007/PartnerControls"/>
    </lcf76f155ced4ddcb4097134ff3c332f>
    <TaxCatchAll xmlns="a73a3d98-899d-44cc-b57d-2644164f3c4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F41AD-3ACE-4CD9-AD80-68555B6C3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d91d3-104d-418f-b578-83fd40418d56"/>
    <ds:schemaRef ds:uri="a73a3d98-899d-44cc-b57d-2644164f3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B7F81-FCDE-4BAD-AEFD-36B9AF4FE272}">
  <ds:schemaRefs>
    <ds:schemaRef ds:uri="http://schemas.microsoft.com/office/2006/metadata/properties"/>
    <ds:schemaRef ds:uri="http://schemas.microsoft.com/office/infopath/2007/PartnerControls"/>
    <ds:schemaRef ds:uri="fa2d91d3-104d-418f-b578-83fd40418d56"/>
    <ds:schemaRef ds:uri="a73a3d98-899d-44cc-b57d-2644164f3c45"/>
  </ds:schemaRefs>
</ds:datastoreItem>
</file>

<file path=customXml/itemProps3.xml><?xml version="1.0" encoding="utf-8"?>
<ds:datastoreItem xmlns:ds="http://schemas.openxmlformats.org/officeDocument/2006/customXml" ds:itemID="{E1AEC725-C1BC-4F7B-983F-931CAB6EB039}">
  <ds:schemaRefs>
    <ds:schemaRef ds:uri="http://schemas.openxmlformats.org/officeDocument/2006/bibliography"/>
  </ds:schemaRefs>
</ds:datastoreItem>
</file>

<file path=customXml/itemProps4.xml><?xml version="1.0" encoding="utf-8"?>
<ds:datastoreItem xmlns:ds="http://schemas.openxmlformats.org/officeDocument/2006/customXml" ds:itemID="{ED16155E-0D9D-457A-B08A-92B4ED618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NPC rapport-NL-incl logo</Template>
  <TotalTime>3</TotalTime>
  <Pages>9</Pages>
  <Words>2469</Words>
  <Characters>13580</Characters>
  <Application>Microsoft Office Word</Application>
  <DocSecurity>0</DocSecurity>
  <Lines>113</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 NPC</vt:lpstr>
      <vt:lpstr>Rapport NPC</vt:lpstr>
    </vt:vector>
  </TitlesOfParts>
  <Company>N.V. Nederlandse Spoorwegen</Company>
  <LinksUpToDate>false</LinksUpToDate>
  <CharactersWithSpaces>16017</CharactersWithSpaces>
  <SharedDoc>false</SharedDoc>
  <HLinks>
    <vt:vector size="120" baseType="variant">
      <vt:variant>
        <vt:i4>1048636</vt:i4>
      </vt:variant>
      <vt:variant>
        <vt:i4>110</vt:i4>
      </vt:variant>
      <vt:variant>
        <vt:i4>0</vt:i4>
      </vt:variant>
      <vt:variant>
        <vt:i4>5</vt:i4>
      </vt:variant>
      <vt:variant>
        <vt:lpwstr/>
      </vt:variant>
      <vt:variant>
        <vt:lpwstr>_Toc327715973</vt:lpwstr>
      </vt:variant>
      <vt:variant>
        <vt:i4>1048636</vt:i4>
      </vt:variant>
      <vt:variant>
        <vt:i4>104</vt:i4>
      </vt:variant>
      <vt:variant>
        <vt:i4>0</vt:i4>
      </vt:variant>
      <vt:variant>
        <vt:i4>5</vt:i4>
      </vt:variant>
      <vt:variant>
        <vt:lpwstr/>
      </vt:variant>
      <vt:variant>
        <vt:lpwstr>_Toc327715972</vt:lpwstr>
      </vt:variant>
      <vt:variant>
        <vt:i4>1048636</vt:i4>
      </vt:variant>
      <vt:variant>
        <vt:i4>98</vt:i4>
      </vt:variant>
      <vt:variant>
        <vt:i4>0</vt:i4>
      </vt:variant>
      <vt:variant>
        <vt:i4>5</vt:i4>
      </vt:variant>
      <vt:variant>
        <vt:lpwstr/>
      </vt:variant>
      <vt:variant>
        <vt:lpwstr>_Toc327715971</vt:lpwstr>
      </vt:variant>
      <vt:variant>
        <vt:i4>1048636</vt:i4>
      </vt:variant>
      <vt:variant>
        <vt:i4>92</vt:i4>
      </vt:variant>
      <vt:variant>
        <vt:i4>0</vt:i4>
      </vt:variant>
      <vt:variant>
        <vt:i4>5</vt:i4>
      </vt:variant>
      <vt:variant>
        <vt:lpwstr/>
      </vt:variant>
      <vt:variant>
        <vt:lpwstr>_Toc327715970</vt:lpwstr>
      </vt:variant>
      <vt:variant>
        <vt:i4>1114172</vt:i4>
      </vt:variant>
      <vt:variant>
        <vt:i4>86</vt:i4>
      </vt:variant>
      <vt:variant>
        <vt:i4>0</vt:i4>
      </vt:variant>
      <vt:variant>
        <vt:i4>5</vt:i4>
      </vt:variant>
      <vt:variant>
        <vt:lpwstr/>
      </vt:variant>
      <vt:variant>
        <vt:lpwstr>_Toc327715969</vt:lpwstr>
      </vt:variant>
      <vt:variant>
        <vt:i4>1114172</vt:i4>
      </vt:variant>
      <vt:variant>
        <vt:i4>80</vt:i4>
      </vt:variant>
      <vt:variant>
        <vt:i4>0</vt:i4>
      </vt:variant>
      <vt:variant>
        <vt:i4>5</vt:i4>
      </vt:variant>
      <vt:variant>
        <vt:lpwstr/>
      </vt:variant>
      <vt:variant>
        <vt:lpwstr>_Toc327715968</vt:lpwstr>
      </vt:variant>
      <vt:variant>
        <vt:i4>1114172</vt:i4>
      </vt:variant>
      <vt:variant>
        <vt:i4>74</vt:i4>
      </vt:variant>
      <vt:variant>
        <vt:i4>0</vt:i4>
      </vt:variant>
      <vt:variant>
        <vt:i4>5</vt:i4>
      </vt:variant>
      <vt:variant>
        <vt:lpwstr/>
      </vt:variant>
      <vt:variant>
        <vt:lpwstr>_Toc327715967</vt:lpwstr>
      </vt:variant>
      <vt:variant>
        <vt:i4>1114172</vt:i4>
      </vt:variant>
      <vt:variant>
        <vt:i4>68</vt:i4>
      </vt:variant>
      <vt:variant>
        <vt:i4>0</vt:i4>
      </vt:variant>
      <vt:variant>
        <vt:i4>5</vt:i4>
      </vt:variant>
      <vt:variant>
        <vt:lpwstr/>
      </vt:variant>
      <vt:variant>
        <vt:lpwstr>_Toc327715966</vt:lpwstr>
      </vt:variant>
      <vt:variant>
        <vt:i4>1114172</vt:i4>
      </vt:variant>
      <vt:variant>
        <vt:i4>62</vt:i4>
      </vt:variant>
      <vt:variant>
        <vt:i4>0</vt:i4>
      </vt:variant>
      <vt:variant>
        <vt:i4>5</vt:i4>
      </vt:variant>
      <vt:variant>
        <vt:lpwstr/>
      </vt:variant>
      <vt:variant>
        <vt:lpwstr>_Toc327715965</vt:lpwstr>
      </vt:variant>
      <vt:variant>
        <vt:i4>1114172</vt:i4>
      </vt:variant>
      <vt:variant>
        <vt:i4>56</vt:i4>
      </vt:variant>
      <vt:variant>
        <vt:i4>0</vt:i4>
      </vt:variant>
      <vt:variant>
        <vt:i4>5</vt:i4>
      </vt:variant>
      <vt:variant>
        <vt:lpwstr/>
      </vt:variant>
      <vt:variant>
        <vt:lpwstr>_Toc327715964</vt:lpwstr>
      </vt:variant>
      <vt:variant>
        <vt:i4>1114172</vt:i4>
      </vt:variant>
      <vt:variant>
        <vt:i4>50</vt:i4>
      </vt:variant>
      <vt:variant>
        <vt:i4>0</vt:i4>
      </vt:variant>
      <vt:variant>
        <vt:i4>5</vt:i4>
      </vt:variant>
      <vt:variant>
        <vt:lpwstr/>
      </vt:variant>
      <vt:variant>
        <vt:lpwstr>_Toc327715963</vt:lpwstr>
      </vt:variant>
      <vt:variant>
        <vt:i4>1114172</vt:i4>
      </vt:variant>
      <vt:variant>
        <vt:i4>44</vt:i4>
      </vt:variant>
      <vt:variant>
        <vt:i4>0</vt:i4>
      </vt:variant>
      <vt:variant>
        <vt:i4>5</vt:i4>
      </vt:variant>
      <vt:variant>
        <vt:lpwstr/>
      </vt:variant>
      <vt:variant>
        <vt:lpwstr>_Toc327715962</vt:lpwstr>
      </vt:variant>
      <vt:variant>
        <vt:i4>1114172</vt:i4>
      </vt:variant>
      <vt:variant>
        <vt:i4>38</vt:i4>
      </vt:variant>
      <vt:variant>
        <vt:i4>0</vt:i4>
      </vt:variant>
      <vt:variant>
        <vt:i4>5</vt:i4>
      </vt:variant>
      <vt:variant>
        <vt:lpwstr/>
      </vt:variant>
      <vt:variant>
        <vt:lpwstr>_Toc327715961</vt:lpwstr>
      </vt:variant>
      <vt:variant>
        <vt:i4>1114172</vt:i4>
      </vt:variant>
      <vt:variant>
        <vt:i4>32</vt:i4>
      </vt:variant>
      <vt:variant>
        <vt:i4>0</vt:i4>
      </vt:variant>
      <vt:variant>
        <vt:i4>5</vt:i4>
      </vt:variant>
      <vt:variant>
        <vt:lpwstr/>
      </vt:variant>
      <vt:variant>
        <vt:lpwstr>_Toc327715960</vt:lpwstr>
      </vt:variant>
      <vt:variant>
        <vt:i4>1179708</vt:i4>
      </vt:variant>
      <vt:variant>
        <vt:i4>26</vt:i4>
      </vt:variant>
      <vt:variant>
        <vt:i4>0</vt:i4>
      </vt:variant>
      <vt:variant>
        <vt:i4>5</vt:i4>
      </vt:variant>
      <vt:variant>
        <vt:lpwstr/>
      </vt:variant>
      <vt:variant>
        <vt:lpwstr>_Toc327715959</vt:lpwstr>
      </vt:variant>
      <vt:variant>
        <vt:i4>1179708</vt:i4>
      </vt:variant>
      <vt:variant>
        <vt:i4>20</vt:i4>
      </vt:variant>
      <vt:variant>
        <vt:i4>0</vt:i4>
      </vt:variant>
      <vt:variant>
        <vt:i4>5</vt:i4>
      </vt:variant>
      <vt:variant>
        <vt:lpwstr/>
      </vt:variant>
      <vt:variant>
        <vt:lpwstr>_Toc327715958</vt:lpwstr>
      </vt:variant>
      <vt:variant>
        <vt:i4>1179708</vt:i4>
      </vt:variant>
      <vt:variant>
        <vt:i4>14</vt:i4>
      </vt:variant>
      <vt:variant>
        <vt:i4>0</vt:i4>
      </vt:variant>
      <vt:variant>
        <vt:i4>5</vt:i4>
      </vt:variant>
      <vt:variant>
        <vt:lpwstr/>
      </vt:variant>
      <vt:variant>
        <vt:lpwstr>_Toc327715957</vt:lpwstr>
      </vt:variant>
      <vt:variant>
        <vt:i4>1179708</vt:i4>
      </vt:variant>
      <vt:variant>
        <vt:i4>8</vt:i4>
      </vt:variant>
      <vt:variant>
        <vt:i4>0</vt:i4>
      </vt:variant>
      <vt:variant>
        <vt:i4>5</vt:i4>
      </vt:variant>
      <vt:variant>
        <vt:lpwstr/>
      </vt:variant>
      <vt:variant>
        <vt:lpwstr>_Toc327715955</vt:lpwstr>
      </vt:variant>
      <vt:variant>
        <vt:i4>1179708</vt:i4>
      </vt:variant>
      <vt:variant>
        <vt:i4>2</vt:i4>
      </vt:variant>
      <vt:variant>
        <vt:i4>0</vt:i4>
      </vt:variant>
      <vt:variant>
        <vt:i4>5</vt:i4>
      </vt:variant>
      <vt:variant>
        <vt:lpwstr/>
      </vt:variant>
      <vt:variant>
        <vt:lpwstr>_Toc327715954</vt:lpwstr>
      </vt:variant>
      <vt:variant>
        <vt:i4>1507359</vt:i4>
      </vt:variant>
      <vt:variant>
        <vt:i4>-1</vt:i4>
      </vt:variant>
      <vt:variant>
        <vt:i4>1120</vt:i4>
      </vt:variant>
      <vt:variant>
        <vt:i4>1</vt:i4>
      </vt:variant>
      <vt:variant>
        <vt:lpwstr>http://www.ce.nl/art/uploads/image/CE-mailvisie/2010/September/carbon-footprint-logo.JPG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NPC</dc:title>
  <dc:creator>thijs.lindhout</dc:creator>
  <cp:lastModifiedBy>Ad Karelse</cp:lastModifiedBy>
  <cp:revision>2</cp:revision>
  <cp:lastPrinted>2023-01-23T19:29:00Z</cp:lastPrinted>
  <dcterms:created xsi:type="dcterms:W3CDTF">2024-10-09T09:08:00Z</dcterms:created>
  <dcterms:modified xsi:type="dcterms:W3CDTF">2024-10-09T09:08:00Z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0x010100D97CA2E7E37DE4488FBCCD81B69B6E2B</vt:lpwstr>
  </property>
  <property fmtid="{D5CDD505-2E9C-101B-9397-08002B2CF9AE}" pid="3" name="TaxKeyword">
    <vt:lpwstr/>
  </property>
  <property fmtid="{D5CDD505-2E9C-101B-9397-08002B2CF9AE}" pid="4" name="Order">
    <vt:r8>4618900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eCSection">
    <vt:lpwstr>Standaardisatie</vt:lpwstr>
  </property>
</Properties>
</file>